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215B" w:rsidRPr="004B4C4F" w:rsidRDefault="0068215B" w:rsidP="004B4C4F">
      <w:pPr>
        <w:spacing w:after="100" w:afterAutospacing="1"/>
        <w:jc w:val="center"/>
        <w:rPr>
          <w:b/>
          <w:bCs/>
          <w:color w:val="000000" w:themeColor="text1"/>
          <w:sz w:val="26"/>
          <w:szCs w:val="26"/>
        </w:rPr>
      </w:pPr>
      <w:r w:rsidRPr="004B4C4F">
        <w:rPr>
          <w:b/>
          <w:bCs/>
          <w:color w:val="000000" w:themeColor="text1"/>
          <w:sz w:val="26"/>
          <w:szCs w:val="26"/>
        </w:rPr>
        <w:t>ĐIỂM MỚI LUẬT THUẾ THU NHẬP CÁ NHÂN SỬA ĐỔI</w:t>
      </w:r>
    </w:p>
    <w:p w:rsidR="004B4C4F" w:rsidRDefault="004B4C4F" w:rsidP="004B4C4F">
      <w:pPr>
        <w:spacing w:after="100" w:afterAutospacing="1"/>
        <w:jc w:val="center"/>
        <w:rPr>
          <w:b/>
          <w:bCs/>
          <w:color w:val="000000" w:themeColor="text1"/>
          <w:sz w:val="26"/>
          <w:szCs w:val="26"/>
          <w:lang w:val="vi-VN"/>
        </w:rPr>
      </w:pPr>
      <w:r w:rsidRPr="004B4C4F">
        <w:rPr>
          <w:b/>
          <w:bCs/>
          <w:color w:val="000000" w:themeColor="text1"/>
          <w:sz w:val="26"/>
          <w:szCs w:val="26"/>
          <w:lang w:val="vi-VN"/>
        </w:rPr>
        <w:t>CÓ HIỆU LỰC TỪ 1/7/2026</w:t>
      </w:r>
    </w:p>
    <w:p w:rsidR="00425C20" w:rsidRPr="004B4C4F" w:rsidRDefault="00425C20" w:rsidP="004B4C4F">
      <w:pPr>
        <w:spacing w:after="100" w:afterAutospacing="1"/>
        <w:jc w:val="center"/>
        <w:rPr>
          <w:b/>
          <w:bCs/>
          <w:color w:val="000000" w:themeColor="text1"/>
          <w:sz w:val="26"/>
          <w:szCs w:val="26"/>
          <w:lang w:val="vi-VN"/>
        </w:rPr>
      </w:pPr>
    </w:p>
    <w:p w:rsidR="0068215B" w:rsidRPr="004B4C4F" w:rsidRDefault="0068215B" w:rsidP="0068215B">
      <w:pPr>
        <w:spacing w:after="100" w:afterAutospacing="1"/>
        <w:rPr>
          <w:color w:val="000000" w:themeColor="text1"/>
          <w:sz w:val="26"/>
          <w:szCs w:val="26"/>
        </w:rPr>
      </w:pPr>
      <w:r w:rsidRPr="004B4C4F">
        <w:rPr>
          <w:b/>
          <w:bCs/>
          <w:color w:val="000000" w:themeColor="text1"/>
          <w:sz w:val="26"/>
          <w:szCs w:val="26"/>
        </w:rPr>
        <w:t>(1) Rút gọn biểu thuế lũy tiến từ 7 bậc xuống 5 bậc</w:t>
      </w:r>
    </w:p>
    <w:p w:rsidR="0068215B" w:rsidRPr="004B4C4F" w:rsidRDefault="0068215B" w:rsidP="0068215B">
      <w:pPr>
        <w:spacing w:after="100" w:afterAutospacing="1"/>
        <w:rPr>
          <w:color w:val="000000" w:themeColor="text1"/>
          <w:sz w:val="26"/>
          <w:szCs w:val="26"/>
        </w:rPr>
      </w:pPr>
      <w:r w:rsidRPr="004B4C4F">
        <w:rPr>
          <w:color w:val="000000" w:themeColor="text1"/>
          <w:sz w:val="26"/>
          <w:szCs w:val="26"/>
        </w:rPr>
        <w:t xml:space="preserve">Biểu thuế có 5 bậc và các mức thuế suất là 5%, 15%, 25%, 30%, 35% (khoảng cách giữa các bậc tăng dần đều 10, 20, 30, 40 triệu đồng và bậc thuế suất cuối cùng là 35% áp dụng đối với phần </w:t>
      </w:r>
      <w:r w:rsidRPr="004B4C4F">
        <w:rPr>
          <w:caps/>
          <w:color w:val="000000" w:themeColor="text1"/>
          <w:sz w:val="26"/>
          <w:szCs w:val="26"/>
        </w:rPr>
        <w:t>thu</w:t>
      </w:r>
      <w:r w:rsidRPr="004B4C4F">
        <w:rPr>
          <w:color w:val="000000" w:themeColor="text1"/>
          <w:sz w:val="26"/>
          <w:szCs w:val="26"/>
        </w:rPr>
        <w:t xml:space="preserve"> nhập tính thuế trên 100 triệu đồng/tháng. Cụ thể:</w:t>
      </w:r>
    </w:p>
    <w:tbl>
      <w:tblPr>
        <w:tblW w:w="9348" w:type="dxa"/>
        <w:tblCellMar>
          <w:top w:w="15" w:type="dxa"/>
          <w:left w:w="15" w:type="dxa"/>
          <w:bottom w:w="15" w:type="dxa"/>
          <w:right w:w="15" w:type="dxa"/>
        </w:tblCellMar>
        <w:tblLook w:val="04A0" w:firstRow="1" w:lastRow="0" w:firstColumn="1" w:lastColumn="0" w:noHBand="0" w:noVBand="1"/>
      </w:tblPr>
      <w:tblGrid>
        <w:gridCol w:w="832"/>
        <w:gridCol w:w="2704"/>
        <w:gridCol w:w="3827"/>
        <w:gridCol w:w="1985"/>
      </w:tblGrid>
      <w:tr w:rsidR="004B4C4F" w:rsidRPr="004B4C4F" w:rsidTr="004B4C4F">
        <w:trPr>
          <w:trHeight w:val="157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b/>
                <w:bCs/>
                <w:color w:val="000000" w:themeColor="text1"/>
                <w:sz w:val="26"/>
                <w:szCs w:val="26"/>
              </w:rPr>
              <w:t>Bậc thuế</w:t>
            </w:r>
          </w:p>
        </w:tc>
        <w:tc>
          <w:tcPr>
            <w:tcW w:w="2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b/>
                <w:bCs/>
                <w:color w:val="000000" w:themeColor="text1"/>
                <w:sz w:val="26"/>
                <w:szCs w:val="26"/>
              </w:rPr>
              <w:t>Phần thu nhập tính thuế/năm (triệu đồng)</w:t>
            </w: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b/>
                <w:bCs/>
                <w:color w:val="000000" w:themeColor="text1"/>
                <w:sz w:val="26"/>
                <w:szCs w:val="26"/>
              </w:rPr>
              <w:t>Phần thu nhập tính thuế/tháng (triệu đồng)</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b/>
                <w:bCs/>
                <w:color w:val="000000" w:themeColor="text1"/>
                <w:sz w:val="26"/>
                <w:szCs w:val="26"/>
              </w:rPr>
              <w:t>Thuế suất (%)</w:t>
            </w:r>
          </w:p>
        </w:tc>
      </w:tr>
      <w:tr w:rsidR="004B4C4F" w:rsidRPr="004B4C4F" w:rsidTr="004B4C4F">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1</w:t>
            </w:r>
          </w:p>
        </w:tc>
        <w:tc>
          <w:tcPr>
            <w:tcW w:w="27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Đến 120</w:t>
            </w:r>
          </w:p>
        </w:tc>
        <w:tc>
          <w:tcPr>
            <w:tcW w:w="3827"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Đến 10</w:t>
            </w:r>
          </w:p>
        </w:tc>
        <w:tc>
          <w:tcPr>
            <w:tcW w:w="1985"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5</w:t>
            </w:r>
          </w:p>
        </w:tc>
      </w:tr>
      <w:tr w:rsidR="004B4C4F" w:rsidRPr="004B4C4F" w:rsidTr="004B4C4F">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2</w:t>
            </w:r>
          </w:p>
        </w:tc>
        <w:tc>
          <w:tcPr>
            <w:tcW w:w="27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120 đến 360</w:t>
            </w:r>
          </w:p>
        </w:tc>
        <w:tc>
          <w:tcPr>
            <w:tcW w:w="3827"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10 đến 30</w:t>
            </w:r>
          </w:p>
        </w:tc>
        <w:tc>
          <w:tcPr>
            <w:tcW w:w="1985"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10</w:t>
            </w:r>
          </w:p>
        </w:tc>
      </w:tr>
      <w:tr w:rsidR="004B4C4F" w:rsidRPr="004B4C4F" w:rsidTr="004B4C4F">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3</w:t>
            </w:r>
          </w:p>
        </w:tc>
        <w:tc>
          <w:tcPr>
            <w:tcW w:w="27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360 đến 720</w:t>
            </w:r>
          </w:p>
        </w:tc>
        <w:tc>
          <w:tcPr>
            <w:tcW w:w="3827"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30 đến 60</w:t>
            </w:r>
          </w:p>
        </w:tc>
        <w:tc>
          <w:tcPr>
            <w:tcW w:w="1985"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20</w:t>
            </w:r>
          </w:p>
        </w:tc>
      </w:tr>
      <w:tr w:rsidR="004B4C4F" w:rsidRPr="004B4C4F" w:rsidTr="004B4C4F">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4</w:t>
            </w:r>
          </w:p>
        </w:tc>
        <w:tc>
          <w:tcPr>
            <w:tcW w:w="27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720 đến 1.200</w:t>
            </w:r>
          </w:p>
        </w:tc>
        <w:tc>
          <w:tcPr>
            <w:tcW w:w="3827"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60 đến 100</w:t>
            </w:r>
          </w:p>
        </w:tc>
        <w:tc>
          <w:tcPr>
            <w:tcW w:w="1985"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30</w:t>
            </w:r>
          </w:p>
        </w:tc>
      </w:tr>
      <w:tr w:rsidR="004B4C4F" w:rsidRPr="004B4C4F" w:rsidTr="004B4C4F">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5</w:t>
            </w:r>
          </w:p>
        </w:tc>
        <w:tc>
          <w:tcPr>
            <w:tcW w:w="2704"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1.200</w:t>
            </w:r>
          </w:p>
        </w:tc>
        <w:tc>
          <w:tcPr>
            <w:tcW w:w="3827"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Trên 100</w:t>
            </w:r>
          </w:p>
        </w:tc>
        <w:tc>
          <w:tcPr>
            <w:tcW w:w="1985"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8215B" w:rsidRPr="004B4C4F" w:rsidRDefault="0068215B" w:rsidP="0068215B">
            <w:pPr>
              <w:spacing w:after="100" w:afterAutospacing="1"/>
              <w:jc w:val="center"/>
              <w:rPr>
                <w:color w:val="000000" w:themeColor="text1"/>
                <w:sz w:val="26"/>
                <w:szCs w:val="26"/>
              </w:rPr>
            </w:pPr>
            <w:r w:rsidRPr="004B4C4F">
              <w:rPr>
                <w:color w:val="000000" w:themeColor="text1"/>
                <w:sz w:val="26"/>
                <w:szCs w:val="26"/>
              </w:rPr>
              <w:t>35</w:t>
            </w:r>
          </w:p>
        </w:tc>
      </w:tr>
    </w:tbl>
    <w:p w:rsidR="004B4C4F" w:rsidRDefault="004B4C4F" w:rsidP="0068215B">
      <w:pPr>
        <w:spacing w:after="100" w:afterAutospacing="1"/>
        <w:rPr>
          <w:b/>
          <w:bCs/>
          <w:color w:val="000000" w:themeColor="text1"/>
          <w:sz w:val="26"/>
          <w:szCs w:val="26"/>
          <w:shd w:val="clear" w:color="auto" w:fill="FFFFFF"/>
        </w:rPr>
      </w:pPr>
    </w:p>
    <w:p w:rsidR="0068215B" w:rsidRPr="004B4C4F" w:rsidRDefault="0068215B" w:rsidP="0068215B">
      <w:pPr>
        <w:spacing w:after="100" w:afterAutospacing="1"/>
        <w:rPr>
          <w:color w:val="000000" w:themeColor="text1"/>
          <w:sz w:val="26"/>
          <w:szCs w:val="26"/>
        </w:rPr>
      </w:pPr>
      <w:r w:rsidRPr="004B4C4F">
        <w:rPr>
          <w:b/>
          <w:bCs/>
          <w:color w:val="000000" w:themeColor="text1"/>
          <w:sz w:val="26"/>
          <w:szCs w:val="26"/>
          <w:shd w:val="clear" w:color="auto" w:fill="FFFFFF"/>
        </w:rPr>
        <w:t>(2 ) Điều chỉnh mức doanh thu không phải nộp thuế của hộ, cá nhân kinh doanh từ 200 triệu đồng/năm lên 500 triệu đồng/năm</w:t>
      </w:r>
    </w:p>
    <w:p w:rsidR="0068215B" w:rsidRPr="004B4C4F" w:rsidRDefault="0068215B" w:rsidP="0068215B">
      <w:pPr>
        <w:spacing w:after="100" w:afterAutospacing="1"/>
        <w:rPr>
          <w:color w:val="000000" w:themeColor="text1"/>
          <w:sz w:val="26"/>
          <w:szCs w:val="26"/>
        </w:rPr>
      </w:pPr>
      <w:r w:rsidRPr="004B4C4F">
        <w:rPr>
          <w:color w:val="000000" w:themeColor="text1"/>
          <w:sz w:val="26"/>
          <w:szCs w:val="26"/>
        </w:rPr>
        <w:t>Luật Thuế thu nhập cá nhân (sửa đổi) chính thức điều chỉnh mức doanh thu không phải nộp thuế của hộ, cá nhân kinh doanh</w:t>
      </w:r>
      <w:r w:rsidRPr="004B4C4F">
        <w:rPr>
          <w:b/>
          <w:bCs/>
          <w:color w:val="000000" w:themeColor="text1"/>
          <w:sz w:val="26"/>
          <w:szCs w:val="26"/>
        </w:rPr>
        <w:t> từ 200 triệu đồng/năm lên 500 triệu đồng/năm </w:t>
      </w:r>
      <w:r w:rsidRPr="004B4C4F">
        <w:rPr>
          <w:color w:val="000000" w:themeColor="text1"/>
          <w:sz w:val="26"/>
          <w:szCs w:val="26"/>
        </w:rPr>
        <w:t>và cho trừ mức này trước khi tính thuế theo tỉ lệ trên doanh thu.</w:t>
      </w:r>
    </w:p>
    <w:p w:rsidR="0068215B" w:rsidRPr="004B4C4F" w:rsidRDefault="0068215B" w:rsidP="0068215B">
      <w:pPr>
        <w:spacing w:after="100" w:afterAutospacing="1"/>
        <w:rPr>
          <w:color w:val="000000" w:themeColor="text1"/>
          <w:sz w:val="26"/>
          <w:szCs w:val="26"/>
        </w:rPr>
      </w:pPr>
      <w:r w:rsidRPr="004B4C4F">
        <w:rPr>
          <w:color w:val="000000" w:themeColor="text1"/>
          <w:sz w:val="26"/>
          <w:szCs w:val="26"/>
        </w:rPr>
        <w:t>Đồng thời điều chỉnh mức doanh thu không chịu thuế giá trị gia</w:t>
      </w:r>
      <w:r w:rsidRPr="004B4C4F">
        <w:rPr>
          <w:b/>
          <w:bCs/>
          <w:color w:val="000000" w:themeColor="text1"/>
          <w:sz w:val="26"/>
          <w:szCs w:val="26"/>
        </w:rPr>
        <w:t> tăng tương ứng lên 500 triệu.</w:t>
      </w:r>
    </w:p>
    <w:p w:rsidR="0068215B" w:rsidRPr="004B4C4F" w:rsidRDefault="0068215B" w:rsidP="0068215B">
      <w:pPr>
        <w:spacing w:after="100" w:afterAutospacing="1"/>
        <w:rPr>
          <w:color w:val="000000" w:themeColor="text1"/>
          <w:sz w:val="26"/>
          <w:szCs w:val="26"/>
        </w:rPr>
      </w:pPr>
      <w:r w:rsidRPr="004B4C4F">
        <w:rPr>
          <w:b/>
          <w:bCs/>
          <w:color w:val="000000" w:themeColor="text1"/>
          <w:sz w:val="26"/>
          <w:szCs w:val="26"/>
        </w:rPr>
        <w:t>(3) Bổ sung phương pháp tính thuế trên thu nhập đối với hộ, cá nhân kinh doanh có doanh thu trên 500 triệu đồng/năm đến 3 tỷ đồng.</w:t>
      </w:r>
    </w:p>
    <w:p w:rsidR="0068215B" w:rsidRPr="004B4C4F" w:rsidRDefault="0068215B" w:rsidP="0068215B">
      <w:pPr>
        <w:spacing w:after="100" w:afterAutospacing="1"/>
        <w:rPr>
          <w:color w:val="000000" w:themeColor="text1"/>
          <w:sz w:val="26"/>
          <w:szCs w:val="26"/>
        </w:rPr>
      </w:pPr>
      <w:r w:rsidRPr="004B4C4F">
        <w:rPr>
          <w:color w:val="000000" w:themeColor="text1"/>
          <w:sz w:val="26"/>
          <w:szCs w:val="26"/>
        </w:rPr>
        <w:t>Theo đó, chính thức áp dụng </w:t>
      </w:r>
      <w:r w:rsidRPr="004B4C4F">
        <w:rPr>
          <w:b/>
          <w:bCs/>
          <w:color w:val="000000" w:themeColor="text1"/>
          <w:sz w:val="26"/>
          <w:szCs w:val="26"/>
        </w:rPr>
        <w:t>thuế suất 15% </w:t>
      </w:r>
      <w:r w:rsidRPr="004B4C4F">
        <w:rPr>
          <w:color w:val="000000" w:themeColor="text1"/>
          <w:sz w:val="26"/>
          <w:szCs w:val="26"/>
        </w:rPr>
        <w:t>tương tự như thuế suất thuế thu nhập doanh nghiệp đối với doanh nghiệp có doanh thu </w:t>
      </w:r>
      <w:r w:rsidRPr="004B4C4F">
        <w:rPr>
          <w:b/>
          <w:bCs/>
          <w:color w:val="000000" w:themeColor="text1"/>
          <w:sz w:val="26"/>
          <w:szCs w:val="26"/>
        </w:rPr>
        <w:t>dưới 3 tỷ đồng/năm.</w:t>
      </w:r>
    </w:p>
    <w:p w:rsidR="0068215B" w:rsidRPr="004B4C4F" w:rsidRDefault="0068215B" w:rsidP="0068215B">
      <w:pPr>
        <w:spacing w:after="100" w:afterAutospacing="1"/>
        <w:rPr>
          <w:color w:val="000000" w:themeColor="text1"/>
          <w:sz w:val="26"/>
          <w:szCs w:val="26"/>
        </w:rPr>
      </w:pPr>
      <w:r w:rsidRPr="004B4C4F">
        <w:rPr>
          <w:color w:val="000000" w:themeColor="text1"/>
          <w:sz w:val="26"/>
          <w:szCs w:val="26"/>
        </w:rPr>
        <w:lastRenderedPageBreak/>
        <w:t>Đồng thời, quy định các cá nhân này được lựa chọn phương pháp tính thuế theo tỉ lệ trên doanh thu hoặc theo thu nhập.</w:t>
      </w:r>
    </w:p>
    <w:p w:rsidR="0068215B" w:rsidRPr="004B4C4F" w:rsidRDefault="0068215B" w:rsidP="0068215B">
      <w:pPr>
        <w:spacing w:after="100" w:afterAutospacing="1"/>
        <w:rPr>
          <w:color w:val="000000" w:themeColor="text1"/>
          <w:sz w:val="26"/>
          <w:szCs w:val="26"/>
        </w:rPr>
      </w:pPr>
      <w:r w:rsidRPr="004B4C4F">
        <w:rPr>
          <w:b/>
          <w:bCs/>
          <w:color w:val="000000" w:themeColor="text1"/>
          <w:sz w:val="26"/>
          <w:szCs w:val="26"/>
        </w:rPr>
        <w:t>(4) Tăng và linh hoạt điều chỉnh giảm trừ gia cảnh</w:t>
      </w:r>
    </w:p>
    <w:p w:rsidR="0068215B" w:rsidRPr="004B4C4F" w:rsidRDefault="0068215B" w:rsidP="004B4C4F">
      <w:pPr>
        <w:spacing w:after="100" w:afterAutospacing="1"/>
        <w:jc w:val="both"/>
        <w:rPr>
          <w:color w:val="000000" w:themeColor="text1"/>
          <w:sz w:val="26"/>
          <w:szCs w:val="26"/>
        </w:rPr>
      </w:pPr>
      <w:r w:rsidRPr="004B4C4F">
        <w:rPr>
          <w:color w:val="000000" w:themeColor="text1"/>
          <w:sz w:val="26"/>
          <w:szCs w:val="26"/>
        </w:rPr>
        <w:t>Được biết, ngày 17/10/2025, UBTVQH đã ban hành </w:t>
      </w:r>
      <w:hyperlink r:id="rId5" w:tgtFrame="_blank" w:history="1">
        <w:r w:rsidRPr="004B4C4F">
          <w:rPr>
            <w:color w:val="000000" w:themeColor="text1"/>
            <w:sz w:val="26"/>
            <w:szCs w:val="26"/>
          </w:rPr>
          <w:t>Nghị quyết 110/2025/UBTVQH15 </w:t>
        </w:r>
      </w:hyperlink>
      <w:r w:rsidRPr="004B4C4F">
        <w:rPr>
          <w:color w:val="000000" w:themeColor="text1"/>
          <w:sz w:val="26"/>
          <w:szCs w:val="26"/>
        </w:rPr>
        <w:t>về điều chỉnh mức giảm trừ gia cảnh của thuế thu nhập cá nhân, theo đó, điều chỉnh mức giảm trừ cho bản thân người nộp thuế từ 11 triệu đồng/tháng lên 15,5 triệu đồng/tháng, điều chỉnh mức giảm trừ cho mỗi người phụ thuộc từ 4,4 triệu đồng/tháng lên 6,2 triệu đồng/tháng.</w:t>
      </w:r>
    </w:p>
    <w:p w:rsidR="0068215B" w:rsidRPr="004B4C4F" w:rsidRDefault="0068215B" w:rsidP="004B4C4F">
      <w:pPr>
        <w:spacing w:after="100" w:afterAutospacing="1"/>
        <w:jc w:val="both"/>
        <w:rPr>
          <w:color w:val="000000" w:themeColor="text1"/>
          <w:sz w:val="26"/>
          <w:szCs w:val="26"/>
        </w:rPr>
      </w:pPr>
      <w:r w:rsidRPr="004B4C4F">
        <w:rPr>
          <w:color w:val="000000" w:themeColor="text1"/>
          <w:sz w:val="26"/>
          <w:szCs w:val="26"/>
        </w:rPr>
        <w:t>Như vậy, kể từ ngày Luật Thuế thu nhập cá nhân (sửa đổi) có hiệu lực thi hành, thì cá nhân (nếu không có người phụ thuộc) với mức thu nhập </w:t>
      </w:r>
      <w:r w:rsidRPr="004B4C4F">
        <w:rPr>
          <w:b/>
          <w:bCs/>
          <w:color w:val="000000" w:themeColor="text1"/>
          <w:sz w:val="26"/>
          <w:szCs w:val="26"/>
        </w:rPr>
        <w:t>17 triệu đồng/tháng </w:t>
      </w:r>
      <w:r w:rsidRPr="004B4C4F">
        <w:rPr>
          <w:color w:val="000000" w:themeColor="text1"/>
          <w:sz w:val="26"/>
          <w:szCs w:val="26"/>
        </w:rPr>
        <w:t>thì người này vẫn </w:t>
      </w:r>
      <w:r w:rsidRPr="004B4C4F">
        <w:rPr>
          <w:b/>
          <w:bCs/>
          <w:color w:val="000000" w:themeColor="text1"/>
          <w:sz w:val="26"/>
          <w:szCs w:val="26"/>
        </w:rPr>
        <w:t>chưa phải nộp thuế</w:t>
      </w:r>
      <w:r w:rsidRPr="004B4C4F">
        <w:rPr>
          <w:color w:val="000000" w:themeColor="text1"/>
          <w:sz w:val="26"/>
          <w:szCs w:val="26"/>
        </w:rPr>
        <w:t>.</w:t>
      </w:r>
    </w:p>
    <w:p w:rsidR="0068215B" w:rsidRPr="004B4C4F" w:rsidRDefault="0068215B" w:rsidP="004B4C4F">
      <w:pPr>
        <w:spacing w:after="100" w:afterAutospacing="1"/>
        <w:jc w:val="both"/>
        <w:rPr>
          <w:color w:val="000000" w:themeColor="text1"/>
          <w:sz w:val="26"/>
          <w:szCs w:val="26"/>
        </w:rPr>
      </w:pPr>
      <w:r w:rsidRPr="004B4C4F">
        <w:rPr>
          <w:color w:val="000000" w:themeColor="text1"/>
          <w:sz w:val="26"/>
          <w:szCs w:val="26"/>
        </w:rPr>
        <w:t>+ Trường hợp cá nhân có 01 người phụ thuộc với mức thu nhập là </w:t>
      </w:r>
      <w:r w:rsidRPr="004B4C4F">
        <w:rPr>
          <w:b/>
          <w:bCs/>
          <w:color w:val="000000" w:themeColor="text1"/>
          <w:sz w:val="26"/>
          <w:szCs w:val="26"/>
        </w:rPr>
        <w:t>24 triệ</w:t>
      </w:r>
      <w:r w:rsidR="004B4C4F">
        <w:rPr>
          <w:b/>
          <w:bCs/>
          <w:color w:val="000000" w:themeColor="text1"/>
          <w:sz w:val="26"/>
          <w:szCs w:val="26"/>
          <w:lang w:val="vi-VN"/>
        </w:rPr>
        <w:t xml:space="preserve">u </w:t>
      </w:r>
      <w:r w:rsidRPr="004B4C4F">
        <w:rPr>
          <w:b/>
          <w:bCs/>
          <w:color w:val="000000" w:themeColor="text1"/>
          <w:sz w:val="26"/>
          <w:szCs w:val="26"/>
        </w:rPr>
        <w:t>đồng/tháng </w:t>
      </w:r>
      <w:r w:rsidRPr="004B4C4F">
        <w:rPr>
          <w:color w:val="000000" w:themeColor="text1"/>
          <w:sz w:val="26"/>
          <w:szCs w:val="26"/>
        </w:rPr>
        <w:t>thì người này vẫn </w:t>
      </w:r>
      <w:r w:rsidRPr="004B4C4F">
        <w:rPr>
          <w:b/>
          <w:bCs/>
          <w:color w:val="000000" w:themeColor="text1"/>
          <w:sz w:val="26"/>
          <w:szCs w:val="26"/>
        </w:rPr>
        <w:t>chưa phải nộp thuế.</w:t>
      </w:r>
    </w:p>
    <w:p w:rsidR="0068215B" w:rsidRPr="004B4C4F" w:rsidRDefault="0068215B" w:rsidP="004B4C4F">
      <w:pPr>
        <w:spacing w:after="100" w:afterAutospacing="1"/>
        <w:jc w:val="both"/>
        <w:rPr>
          <w:color w:val="000000" w:themeColor="text1"/>
          <w:sz w:val="26"/>
          <w:szCs w:val="26"/>
        </w:rPr>
      </w:pPr>
      <w:r w:rsidRPr="004B4C4F">
        <w:rPr>
          <w:color w:val="000000" w:themeColor="text1"/>
          <w:sz w:val="26"/>
          <w:szCs w:val="26"/>
        </w:rPr>
        <w:t>+ Trường hợp cá nhân có 02 người phụ thuộc với mức thu nhập là </w:t>
      </w:r>
      <w:r w:rsidRPr="004B4C4F">
        <w:rPr>
          <w:b/>
          <w:bCs/>
          <w:color w:val="000000" w:themeColor="text1"/>
          <w:sz w:val="26"/>
          <w:szCs w:val="26"/>
        </w:rPr>
        <w:t>31 triệu đồng/tháng </w:t>
      </w:r>
      <w:r w:rsidRPr="004B4C4F">
        <w:rPr>
          <w:color w:val="000000" w:themeColor="text1"/>
          <w:sz w:val="26"/>
          <w:szCs w:val="26"/>
        </w:rPr>
        <w:t>thì người này vẫn </w:t>
      </w:r>
      <w:r w:rsidRPr="004B4C4F">
        <w:rPr>
          <w:b/>
          <w:bCs/>
          <w:color w:val="000000" w:themeColor="text1"/>
          <w:sz w:val="26"/>
          <w:szCs w:val="26"/>
        </w:rPr>
        <w:t>chưa phải nộp thuế.</w:t>
      </w:r>
    </w:p>
    <w:p w:rsidR="0068215B" w:rsidRPr="004B4C4F" w:rsidRDefault="0068215B" w:rsidP="0068215B">
      <w:pPr>
        <w:spacing w:after="100" w:afterAutospacing="1"/>
        <w:rPr>
          <w:color w:val="000000" w:themeColor="text1"/>
          <w:sz w:val="26"/>
          <w:szCs w:val="26"/>
        </w:rPr>
      </w:pPr>
      <w:r w:rsidRPr="004B4C4F">
        <w:rPr>
          <w:b/>
          <w:bCs/>
          <w:color w:val="000000" w:themeColor="text1"/>
          <w:sz w:val="26"/>
          <w:szCs w:val="26"/>
        </w:rPr>
        <w:t>(5) Áp dụng mức thuế suất 0,1% với chuyển nhượng vàng</w:t>
      </w:r>
    </w:p>
    <w:p w:rsidR="0068215B" w:rsidRPr="004B4C4F" w:rsidRDefault="0068215B" w:rsidP="004B4C4F">
      <w:pPr>
        <w:spacing w:after="100" w:afterAutospacing="1"/>
        <w:jc w:val="both"/>
        <w:rPr>
          <w:color w:val="000000" w:themeColor="text1"/>
          <w:sz w:val="26"/>
          <w:szCs w:val="26"/>
        </w:rPr>
      </w:pPr>
      <w:r w:rsidRPr="004B4C4F">
        <w:rPr>
          <w:color w:val="000000" w:themeColor="text1"/>
          <w:sz w:val="26"/>
          <w:szCs w:val="26"/>
        </w:rPr>
        <w:t>Theo đó, Luật Thuế thu nhập cá nhân (sửa đổi) quy định thu thuế đối với vàng miếng với </w:t>
      </w:r>
      <w:r w:rsidRPr="004B4C4F">
        <w:rPr>
          <w:b/>
          <w:bCs/>
          <w:color w:val="000000" w:themeColor="text1"/>
          <w:sz w:val="26"/>
          <w:szCs w:val="26"/>
        </w:rPr>
        <w:t>mức thuế suất là 0,1% </w:t>
      </w:r>
      <w:r w:rsidRPr="004B4C4F">
        <w:rPr>
          <w:color w:val="000000" w:themeColor="text1"/>
          <w:sz w:val="26"/>
          <w:szCs w:val="26"/>
        </w:rPr>
        <w:t>trên giá chuyển nhượng từng lần.</w:t>
      </w:r>
    </w:p>
    <w:p w:rsidR="0068215B" w:rsidRDefault="0068215B" w:rsidP="004B4C4F">
      <w:pPr>
        <w:spacing w:after="100" w:afterAutospacing="1"/>
        <w:jc w:val="both"/>
        <w:rPr>
          <w:color w:val="000000" w:themeColor="text1"/>
          <w:sz w:val="26"/>
          <w:szCs w:val="26"/>
        </w:rPr>
      </w:pPr>
      <w:r w:rsidRPr="004B4C4F">
        <w:rPr>
          <w:color w:val="000000" w:themeColor="text1"/>
          <w:sz w:val="26"/>
          <w:szCs w:val="26"/>
        </w:rPr>
        <w:t>Giao 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rsidR="00425C20" w:rsidRDefault="00425C20" w:rsidP="00425C20">
      <w:pPr>
        <w:spacing w:after="100" w:afterAutospacing="1"/>
        <w:jc w:val="both"/>
        <w:rPr>
          <w:rStyle w:val="Strong"/>
          <w:color w:val="000000"/>
          <w:sz w:val="26"/>
          <w:szCs w:val="26"/>
          <w:bdr w:val="none" w:sz="0" w:space="0" w:color="auto" w:frame="1"/>
          <w:shd w:val="clear" w:color="auto" w:fill="FFFFFF"/>
        </w:rPr>
      </w:pPr>
      <w:r>
        <w:rPr>
          <w:rStyle w:val="Strong"/>
          <w:color w:val="000000"/>
          <w:sz w:val="26"/>
          <w:szCs w:val="26"/>
          <w:bdr w:val="none" w:sz="0" w:space="0" w:color="auto" w:frame="1"/>
          <w:shd w:val="clear" w:color="auto" w:fill="FFFFFF"/>
          <w:lang w:val="vi-VN"/>
        </w:rPr>
        <w:t>(6)</w:t>
      </w:r>
      <w:r w:rsidRPr="00425C20">
        <w:rPr>
          <w:rStyle w:val="Strong"/>
          <w:color w:val="000000"/>
          <w:sz w:val="26"/>
          <w:szCs w:val="26"/>
          <w:bdr w:val="none" w:sz="0" w:space="0" w:color="auto" w:frame="1"/>
          <w:shd w:val="clear" w:color="auto" w:fill="FFFFFF"/>
        </w:rPr>
        <w:t>.  21 khoản thu nhập được miễn thuế TNCN</w:t>
      </w:r>
    </w:p>
    <w:p w:rsidR="00425C20" w:rsidRDefault="00425C20" w:rsidP="00425C20">
      <w:pPr>
        <w:spacing w:after="100" w:afterAutospacing="1"/>
        <w:jc w:val="both"/>
        <w:rPr>
          <w:color w:val="000000" w:themeColor="text1"/>
          <w:sz w:val="26"/>
          <w:szCs w:val="26"/>
        </w:rPr>
      </w:pPr>
      <w:r w:rsidRPr="00425C20">
        <w:rPr>
          <w:rStyle w:val="Strong"/>
          <w:color w:val="000000"/>
          <w:sz w:val="26"/>
          <w:szCs w:val="26"/>
          <w:bdr w:val="none" w:sz="0" w:space="0" w:color="auto" w:frame="1"/>
          <w:shd w:val="clear" w:color="auto" w:fill="FFFFFF"/>
        </w:rPr>
        <w:t> </w:t>
      </w:r>
      <w:r w:rsidRPr="00425C20">
        <w:rPr>
          <w:color w:val="000000" w:themeColor="text1"/>
          <w:sz w:val="26"/>
          <w:szCs w:val="26"/>
        </w:rPr>
        <w:t>Quốc hội thông qua 21 khoản thu nhập được miễn thuế thu nhập cá nhân được để xuất tại Điều 4 dự thảo Luật Thuế thu nhập cá nhân ngày 10/12/2025 gồm:</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w:t>
      </w:r>
      <w:r w:rsidRPr="00425C20">
        <w:rPr>
          <w:color w:val="000000" w:themeColor="text1"/>
          <w:sz w:val="26"/>
          <w:szCs w:val="26"/>
        </w:rPr>
        <w:t xml:space="preserve"> Thu nhập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2.</w:t>
      </w:r>
      <w:r w:rsidRPr="00425C20">
        <w:rPr>
          <w:color w:val="000000" w:themeColor="text1"/>
          <w:sz w:val="26"/>
          <w:szCs w:val="26"/>
        </w:rPr>
        <w:t xml:space="preserve"> Thu nhập từ chuyển nhượng nhà ở, quyền sử dụng đất ở và tài sản gắn liền với đất ở của cá nhân trong trường hợp cá nhân chỉ có một nhà ở, đất ở duy nhất tại Việt Nam.</w:t>
      </w:r>
      <w:r w:rsidRPr="00425C20">
        <w:rPr>
          <w:color w:val="000000" w:themeColor="text1"/>
          <w:sz w:val="26"/>
          <w:szCs w:val="26"/>
        </w:rPr>
        <w:br/>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lastRenderedPageBreak/>
        <w:t>3.</w:t>
      </w:r>
      <w:r w:rsidRPr="00425C20">
        <w:rPr>
          <w:color w:val="000000" w:themeColor="text1"/>
          <w:sz w:val="26"/>
          <w:szCs w:val="26"/>
        </w:rPr>
        <w:t xml:space="preserve"> Thu nhập từ giá trị quyền sử dụng đất của cá nhân được Nhà nước giao đất.</w:t>
      </w:r>
      <w:r w:rsidRPr="00425C20">
        <w:rPr>
          <w:color w:val="000000" w:themeColor="text1"/>
          <w:sz w:val="26"/>
          <w:szCs w:val="26"/>
        </w:rPr>
        <w:br/>
      </w:r>
      <w:r>
        <w:rPr>
          <w:color w:val="000000" w:themeColor="text1"/>
          <w:sz w:val="26"/>
          <w:szCs w:val="26"/>
          <w:lang w:val="vi-VN"/>
        </w:rPr>
        <w:t>4.</w:t>
      </w:r>
      <w:r w:rsidRPr="00425C20">
        <w:rPr>
          <w:color w:val="000000" w:themeColor="text1"/>
          <w:sz w:val="26"/>
          <w:szCs w:val="26"/>
        </w:rPr>
        <w:t xml:space="preserve"> Thu nhập của hộ gia đình, cá nhân trực tiếp sản xuất sản phẩm cây trồng, rừng trồng, chăn nuôi, thủy sản nuôi trồng, đánh bắt chưa qua chế biến thành các sản phẩm khác hoặc chỉ qua sơ chế thông thường; sản xuất muối; thu nhập từ lợi tức cổ phần của thành viên hợp tác xã, liên hiệp hợp tác xã nông nghiệp, cá nhân là nông dân ký kết hợp đồng với doanh nghiệp tham gia “Cánh đồng lớn”, trồng rừng sản xuất, nuôi trồng thủy sản.</w:t>
      </w:r>
      <w:r w:rsidRPr="00425C20">
        <w:rPr>
          <w:color w:val="000000" w:themeColor="text1"/>
          <w:sz w:val="26"/>
          <w:szCs w:val="26"/>
        </w:rPr>
        <w:br/>
      </w:r>
      <w:r>
        <w:rPr>
          <w:color w:val="000000" w:themeColor="text1"/>
          <w:sz w:val="26"/>
          <w:szCs w:val="26"/>
          <w:lang w:val="vi-VN"/>
        </w:rPr>
        <w:t>5.</w:t>
      </w:r>
      <w:r w:rsidRPr="00425C20">
        <w:rPr>
          <w:color w:val="000000" w:themeColor="text1"/>
          <w:sz w:val="26"/>
          <w:szCs w:val="26"/>
        </w:rPr>
        <w:t xml:space="preserve"> Thu nhập từ chuyển đổi đất nông nghiệp của hộ gia đình, cá nhân được Nhà nước giao để sản xuất.</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6.</w:t>
      </w:r>
      <w:r w:rsidRPr="00425C20">
        <w:rPr>
          <w:color w:val="000000" w:themeColor="text1"/>
          <w:sz w:val="26"/>
          <w:szCs w:val="26"/>
        </w:rPr>
        <w:t xml:space="preserve"> Thu nhập từ lãi trái phiếu chính phủ, lãi trái phiếu chính quyền địa phương, lãi tiền gửi tại tổ chức tín dụng, lãi từ hợp đồng bảo hiểm nhân thọ.</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7.</w:t>
      </w:r>
      <w:r w:rsidRPr="00425C20">
        <w:rPr>
          <w:color w:val="000000" w:themeColor="text1"/>
          <w:sz w:val="26"/>
          <w:szCs w:val="26"/>
        </w:rPr>
        <w:t xml:space="preserve"> Thu nhập từ kiều hối.</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8.</w:t>
      </w:r>
      <w:r w:rsidRPr="00425C20">
        <w:rPr>
          <w:color w:val="000000" w:themeColor="text1"/>
          <w:sz w:val="26"/>
          <w:szCs w:val="26"/>
        </w:rPr>
        <w:t xml:space="preserve"> Tiền lương làm việc ban đêm, làm thêm giờ; tiền lương, tiền công trả cho những ngày không nghỉ phép theo quy định của pháp luật.</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9.</w:t>
      </w:r>
      <w:r w:rsidRPr="00425C20">
        <w:rPr>
          <w:color w:val="000000" w:themeColor="text1"/>
          <w:sz w:val="26"/>
          <w:szCs w:val="26"/>
        </w:rPr>
        <w:t xml:space="preserve"> Tiền lương hưu do Quỹ bảo hiểm xã hội chi trả; thu nhập do quỹ bảo hiểm hưu trí bổ sung, quỹ hưu trí tự nguyện chi trả.</w:t>
      </w:r>
    </w:p>
    <w:p w:rsidR="00425C20" w:rsidRPr="00425C20" w:rsidRDefault="00425C20" w:rsidP="00425C20">
      <w:pPr>
        <w:spacing w:after="100" w:afterAutospacing="1"/>
        <w:jc w:val="both"/>
        <w:rPr>
          <w:color w:val="000000" w:themeColor="text1"/>
          <w:sz w:val="26"/>
          <w:szCs w:val="26"/>
        </w:rPr>
      </w:pPr>
      <w:r>
        <w:rPr>
          <w:color w:val="000000" w:themeColor="text1"/>
          <w:sz w:val="26"/>
          <w:szCs w:val="26"/>
          <w:lang w:val="vi-VN"/>
        </w:rPr>
        <w:t>10.</w:t>
      </w:r>
      <w:r w:rsidRPr="00425C20">
        <w:rPr>
          <w:color w:val="000000" w:themeColor="text1"/>
          <w:sz w:val="26"/>
          <w:szCs w:val="26"/>
        </w:rPr>
        <w:t xml:space="preserve"> Thu nhập từ học bổng, bao gồm:</w:t>
      </w:r>
      <w:r>
        <w:rPr>
          <w:color w:val="000000" w:themeColor="text1"/>
          <w:sz w:val="26"/>
          <w:szCs w:val="26"/>
          <w:lang w:val="vi-VN"/>
        </w:rPr>
        <w:t xml:space="preserve"> </w:t>
      </w:r>
      <w:r w:rsidRPr="00425C20">
        <w:rPr>
          <w:color w:val="000000" w:themeColor="text1"/>
          <w:sz w:val="26"/>
          <w:szCs w:val="26"/>
        </w:rPr>
        <w:t>Học bổng nhận được từ ngân sách nhà nước;</w:t>
      </w:r>
      <w:r>
        <w:rPr>
          <w:color w:val="000000" w:themeColor="text1"/>
          <w:sz w:val="26"/>
          <w:szCs w:val="26"/>
          <w:lang w:val="vi-VN"/>
        </w:rPr>
        <w:t xml:space="preserve"> </w:t>
      </w:r>
      <w:r w:rsidRPr="00425C20">
        <w:rPr>
          <w:color w:val="000000" w:themeColor="text1"/>
          <w:sz w:val="26"/>
          <w:szCs w:val="26"/>
        </w:rPr>
        <w:t>Học bổng nhận được từ tổ chức trong nước và ngoài nước theo chương trình hỗ trợ khuyến học của tổ chức đó.</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11.</w:t>
      </w:r>
      <w:r w:rsidRPr="00425C20">
        <w:rPr>
          <w:color w:val="000000" w:themeColor="text1"/>
          <w:sz w:val="26"/>
          <w:szCs w:val="26"/>
        </w:rPr>
        <w:t xml:space="preserve"> Thu nhập từ bồi thường hợp đồng bảo hiểm nhân thọ, phi nhân thọ, tiền bồi thường tai nạn lao động, khoản bồi thường nhà nước và các khoản bồi thường khác theo quy định của pháp luật.</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12.</w:t>
      </w:r>
      <w:r w:rsidRPr="00425C20">
        <w:rPr>
          <w:color w:val="000000" w:themeColor="text1"/>
          <w:sz w:val="26"/>
          <w:szCs w:val="26"/>
        </w:rPr>
        <w:t xml:space="preserve"> Thu nhập nhận được từ các tổ chức và quỹ từ thiện được cơ quan nhà nước có thẩm quyền cho phép thành lập hoặc công nhận, hoạt động vì mục đích từ thiện, nhân đạo, không vì mục tiêu lợi nhuận.</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13.</w:t>
      </w:r>
      <w:r w:rsidRPr="00425C20">
        <w:rPr>
          <w:color w:val="000000" w:themeColor="text1"/>
          <w:sz w:val="26"/>
          <w:szCs w:val="26"/>
        </w:rPr>
        <w:t xml:space="preserve"> Thu nhập nhận được từ nguồn viện trợ nước ngoài vì mục đích từ thiện, nhân đạo dưới hình thức chính phủ và phi chính phủ được cơ quan nhà nước có thẩm quyền phê duyệt.</w:t>
      </w:r>
      <w:r w:rsidRPr="00425C20">
        <w:rPr>
          <w:color w:val="000000" w:themeColor="text1"/>
          <w:sz w:val="26"/>
          <w:szCs w:val="26"/>
        </w:rPr>
        <w:br/>
      </w:r>
      <w:r>
        <w:rPr>
          <w:color w:val="000000" w:themeColor="text1"/>
          <w:sz w:val="26"/>
          <w:szCs w:val="26"/>
          <w:lang w:val="vi-VN"/>
        </w:rPr>
        <w:t>14.</w:t>
      </w:r>
      <w:r w:rsidRPr="00425C20">
        <w:rPr>
          <w:color w:val="000000" w:themeColor="text1"/>
          <w:sz w:val="26"/>
          <w:szCs w:val="26"/>
        </w:rPr>
        <w:t xml:space="preserve"> Thu nhập từ tiền lương, tiền công của thuyền viên là người Việt Nam làm việc cho các hãng tàu nước ngoài hoặc các hãng tàu Việt Nam vận tải quốc tế.</w:t>
      </w:r>
      <w:r w:rsidRPr="00425C20">
        <w:rPr>
          <w:color w:val="000000" w:themeColor="text1"/>
          <w:sz w:val="26"/>
          <w:szCs w:val="26"/>
        </w:rPr>
        <w:br/>
      </w:r>
      <w:r>
        <w:rPr>
          <w:color w:val="000000" w:themeColor="text1"/>
          <w:sz w:val="26"/>
          <w:szCs w:val="26"/>
          <w:lang w:val="vi-VN"/>
        </w:rPr>
        <w:t>15.</w:t>
      </w:r>
      <w:r w:rsidRPr="00425C20">
        <w:rPr>
          <w:color w:val="000000" w:themeColor="text1"/>
          <w:sz w:val="26"/>
          <w:szCs w:val="26"/>
        </w:rPr>
        <w:t xml:space="preserve"> Thu nhập của cá nhân là chủ tàu, cá nhân có quyền sử dụng tàu và cá nhân làm việc trên tàu từ hoạt động cung cấp hàng hóa, dịch vụ trực tiếp phục vụ hoạt động khai thác, đánh bắt thủy sản xa bờ.</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16.</w:t>
      </w:r>
      <w:r w:rsidRPr="00425C20">
        <w:rPr>
          <w:color w:val="000000" w:themeColor="text1"/>
          <w:sz w:val="26"/>
          <w:szCs w:val="26"/>
        </w:rPr>
        <w:t xml:space="preserve"> Thu nhập từ chuyển nhượng lần đầu kết quả giảm phát thải khí nhà kính của cá nhân được công nhận kết quả giảm phát thải khí nhà kính, tín chỉ các - bon của cá nhân được </w:t>
      </w:r>
      <w:r w:rsidRPr="00425C20">
        <w:rPr>
          <w:color w:val="000000" w:themeColor="text1"/>
          <w:sz w:val="26"/>
          <w:szCs w:val="26"/>
        </w:rPr>
        <w:lastRenderedPageBreak/>
        <w:t>cấp tín chỉ các – bon; thu nhập từ tiền lãi trái phiếu xanh; thu nhập từ chuyển nhượng lần đầu trái phiếu xanh sau khi phát hành.</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17.</w:t>
      </w:r>
      <w:r w:rsidRPr="00425C20">
        <w:rPr>
          <w:color w:val="000000" w:themeColor="text1"/>
          <w:sz w:val="26"/>
          <w:szCs w:val="26"/>
        </w:rPr>
        <w:t xml:space="preserve"> Thu nhập từ tiền lương, tiền công từ thực hiện nhiệm vụ khoa học, công nghệ và đổi mới sáng tạo.</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18.</w:t>
      </w:r>
      <w:r w:rsidRPr="00425C20">
        <w:rPr>
          <w:color w:val="000000" w:themeColor="text1"/>
          <w:sz w:val="26"/>
          <w:szCs w:val="26"/>
        </w:rPr>
        <w:t xml:space="preserve"> 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19.</w:t>
      </w:r>
      <w:r w:rsidRPr="00425C20">
        <w:rPr>
          <w:color w:val="000000" w:themeColor="text1"/>
          <w:sz w:val="26"/>
          <w:szCs w:val="26"/>
        </w:rPr>
        <w:t xml:space="preserve"> Thu nhập của nhà đầu tư cá nhân, chuyên gia làm việc cho dự án khởi nghiệp sáng tạo, sáng lập viên cho doanh nghiệp khởi nghiệp sáng tạo, nhà đầu tư cá nhân góp vốn vào quỹ đầu tư mạo hiểm.</w:t>
      </w:r>
    </w:p>
    <w:p w:rsidR="00425C20" w:rsidRDefault="00425C20" w:rsidP="00425C20">
      <w:pPr>
        <w:spacing w:after="100" w:afterAutospacing="1"/>
        <w:jc w:val="both"/>
        <w:rPr>
          <w:color w:val="000000" w:themeColor="text1"/>
          <w:sz w:val="26"/>
          <w:szCs w:val="26"/>
        </w:rPr>
      </w:pPr>
      <w:r>
        <w:rPr>
          <w:color w:val="000000" w:themeColor="text1"/>
          <w:sz w:val="26"/>
          <w:szCs w:val="26"/>
          <w:lang w:val="vi-VN"/>
        </w:rPr>
        <w:t>20.</w:t>
      </w:r>
      <w:r w:rsidRPr="00425C20">
        <w:rPr>
          <w:color w:val="000000" w:themeColor="text1"/>
          <w:sz w:val="26"/>
          <w:szCs w:val="26"/>
        </w:rPr>
        <w:t xml:space="preserve"> 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Liên hợp quốc.</w:t>
      </w:r>
    </w:p>
    <w:p w:rsidR="00425C20" w:rsidRPr="00425C20" w:rsidRDefault="00425C20" w:rsidP="00425C20">
      <w:pPr>
        <w:spacing w:after="100" w:afterAutospacing="1"/>
        <w:jc w:val="both"/>
        <w:rPr>
          <w:color w:val="000000" w:themeColor="text1"/>
          <w:sz w:val="26"/>
          <w:szCs w:val="26"/>
        </w:rPr>
      </w:pPr>
      <w:r>
        <w:rPr>
          <w:color w:val="000000" w:themeColor="text1"/>
          <w:sz w:val="26"/>
          <w:szCs w:val="26"/>
          <w:lang w:val="vi-VN"/>
        </w:rPr>
        <w:t>21.</w:t>
      </w:r>
      <w:r w:rsidRPr="00425C20">
        <w:rPr>
          <w:color w:val="000000" w:themeColor="text1"/>
          <w:sz w:val="26"/>
          <w:szCs w:val="26"/>
        </w:rPr>
        <w:t xml:space="preserve"> Thu nhập sau khi đã nộp thuế thu nhập doanh nghiệp của cá nhân là chủ doanh nghiệp tư nhân, cá nhân là chủ công ty trách nhiệm hữu hạn một thành viên.</w:t>
      </w:r>
    </w:p>
    <w:p w:rsidR="0068215B" w:rsidRPr="004B4C4F" w:rsidRDefault="0068215B">
      <w:pPr>
        <w:rPr>
          <w:color w:val="000000" w:themeColor="text1"/>
          <w:sz w:val="26"/>
          <w:szCs w:val="26"/>
        </w:rPr>
      </w:pPr>
    </w:p>
    <w:sectPr w:rsidR="0068215B" w:rsidRPr="004B4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42248"/>
    <w:multiLevelType w:val="multilevel"/>
    <w:tmpl w:val="A6EA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75804"/>
    <w:multiLevelType w:val="multilevel"/>
    <w:tmpl w:val="B88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8574259">
    <w:abstractNumId w:val="0"/>
  </w:num>
  <w:num w:numId="2" w16cid:durableId="15145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5B"/>
    <w:rsid w:val="00425C20"/>
    <w:rsid w:val="004B4C4F"/>
    <w:rsid w:val="0068215B"/>
    <w:rsid w:val="00B91E80"/>
    <w:rsid w:val="00C15F3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7B94B38"/>
  <w15:chartTrackingRefBased/>
  <w15:docId w15:val="{1092CA0A-8580-E84E-ABD1-F84A72C7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20"/>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8215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821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15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8215B"/>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68215B"/>
    <w:rPr>
      <w:b/>
      <w:bCs/>
    </w:rPr>
  </w:style>
  <w:style w:type="character" w:styleId="Hyperlink">
    <w:name w:val="Hyperlink"/>
    <w:basedOn w:val="DefaultParagraphFont"/>
    <w:uiPriority w:val="99"/>
    <w:semiHidden/>
    <w:unhideWhenUsed/>
    <w:rsid w:val="0068215B"/>
    <w:rPr>
      <w:color w:val="0000FF"/>
      <w:u w:val="single"/>
    </w:rPr>
  </w:style>
  <w:style w:type="character" w:customStyle="1" w:styleId="avp-caption-title">
    <w:name w:val="avp-caption-title"/>
    <w:basedOn w:val="DefaultParagraphFont"/>
    <w:rsid w:val="0068215B"/>
  </w:style>
  <w:style w:type="paragraph" w:styleId="NormalWeb">
    <w:name w:val="Normal (Web)"/>
    <w:basedOn w:val="Normal"/>
    <w:uiPriority w:val="99"/>
    <w:semiHidden/>
    <w:unhideWhenUsed/>
    <w:rsid w:val="0068215B"/>
    <w:pPr>
      <w:spacing w:before="100" w:beforeAutospacing="1" w:after="100" w:afterAutospacing="1"/>
    </w:pPr>
  </w:style>
  <w:style w:type="paragraph" w:styleId="ListParagraph">
    <w:name w:val="List Paragraph"/>
    <w:basedOn w:val="Normal"/>
    <w:uiPriority w:val="34"/>
    <w:qFormat/>
    <w:rsid w:val="0042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7837">
      <w:bodyDiv w:val="1"/>
      <w:marLeft w:val="0"/>
      <w:marRight w:val="0"/>
      <w:marTop w:val="0"/>
      <w:marBottom w:val="0"/>
      <w:divBdr>
        <w:top w:val="none" w:sz="0" w:space="0" w:color="auto"/>
        <w:left w:val="none" w:sz="0" w:space="0" w:color="auto"/>
        <w:bottom w:val="none" w:sz="0" w:space="0" w:color="auto"/>
        <w:right w:val="none" w:sz="0" w:space="0" w:color="auto"/>
      </w:divBdr>
    </w:div>
    <w:div w:id="1002973707">
      <w:bodyDiv w:val="1"/>
      <w:marLeft w:val="0"/>
      <w:marRight w:val="0"/>
      <w:marTop w:val="0"/>
      <w:marBottom w:val="0"/>
      <w:divBdr>
        <w:top w:val="none" w:sz="0" w:space="0" w:color="auto"/>
        <w:left w:val="none" w:sz="0" w:space="0" w:color="auto"/>
        <w:bottom w:val="none" w:sz="0" w:space="0" w:color="auto"/>
        <w:right w:val="none" w:sz="0" w:space="0" w:color="auto"/>
      </w:divBdr>
      <w:divsChild>
        <w:div w:id="1139498273">
          <w:marLeft w:val="0"/>
          <w:marRight w:val="0"/>
          <w:marTop w:val="0"/>
          <w:marBottom w:val="225"/>
          <w:divBdr>
            <w:top w:val="none" w:sz="0" w:space="0" w:color="auto"/>
            <w:left w:val="none" w:sz="0" w:space="0" w:color="auto"/>
            <w:bottom w:val="none" w:sz="0" w:space="0" w:color="auto"/>
            <w:right w:val="none" w:sz="0" w:space="0" w:color="auto"/>
          </w:divBdr>
          <w:divsChild>
            <w:div w:id="1574050149">
              <w:marLeft w:val="0"/>
              <w:marRight w:val="0"/>
              <w:marTop w:val="0"/>
              <w:marBottom w:val="0"/>
              <w:divBdr>
                <w:top w:val="none" w:sz="0" w:space="0" w:color="auto"/>
                <w:left w:val="none" w:sz="0" w:space="0" w:color="auto"/>
                <w:bottom w:val="none" w:sz="0" w:space="0" w:color="auto"/>
                <w:right w:val="none" w:sz="0" w:space="0" w:color="auto"/>
              </w:divBdr>
              <w:divsChild>
                <w:div w:id="223876146">
                  <w:marLeft w:val="0"/>
                  <w:marRight w:val="0"/>
                  <w:marTop w:val="0"/>
                  <w:marBottom w:val="0"/>
                  <w:divBdr>
                    <w:top w:val="none" w:sz="0" w:space="0" w:color="auto"/>
                    <w:left w:val="none" w:sz="0" w:space="0" w:color="auto"/>
                    <w:bottom w:val="none" w:sz="0" w:space="0" w:color="auto"/>
                    <w:right w:val="none" w:sz="0" w:space="0" w:color="auto"/>
                  </w:divBdr>
                  <w:divsChild>
                    <w:div w:id="1744526523">
                      <w:marLeft w:val="0"/>
                      <w:marRight w:val="0"/>
                      <w:marTop w:val="0"/>
                      <w:marBottom w:val="0"/>
                      <w:divBdr>
                        <w:top w:val="none" w:sz="0" w:space="0" w:color="auto"/>
                        <w:left w:val="none" w:sz="0" w:space="0" w:color="auto"/>
                        <w:bottom w:val="none" w:sz="0" w:space="0" w:color="auto"/>
                        <w:right w:val="none" w:sz="0" w:space="0" w:color="auto"/>
                      </w:divBdr>
                    </w:div>
                  </w:divsChild>
                </w:div>
                <w:div w:id="1467895175">
                  <w:marLeft w:val="0"/>
                  <w:marRight w:val="0"/>
                  <w:marTop w:val="0"/>
                  <w:marBottom w:val="0"/>
                  <w:divBdr>
                    <w:top w:val="none" w:sz="0" w:space="0" w:color="auto"/>
                    <w:left w:val="none" w:sz="0" w:space="0" w:color="auto"/>
                    <w:bottom w:val="none" w:sz="0" w:space="0" w:color="auto"/>
                    <w:right w:val="none" w:sz="0" w:space="0" w:color="auto"/>
                  </w:divBdr>
                  <w:divsChild>
                    <w:div w:id="6716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832317">
          <w:marLeft w:val="0"/>
          <w:marRight w:val="0"/>
          <w:marTop w:val="150"/>
          <w:marBottom w:val="150"/>
          <w:divBdr>
            <w:top w:val="none" w:sz="0" w:space="0" w:color="auto"/>
            <w:left w:val="none" w:sz="0" w:space="0" w:color="auto"/>
            <w:bottom w:val="none" w:sz="0" w:space="0" w:color="auto"/>
            <w:right w:val="none" w:sz="0" w:space="0" w:color="auto"/>
          </w:divBdr>
          <w:divsChild>
            <w:div w:id="164369048">
              <w:marLeft w:val="0"/>
              <w:marRight w:val="0"/>
              <w:marTop w:val="0"/>
              <w:marBottom w:val="0"/>
              <w:divBdr>
                <w:top w:val="none" w:sz="0" w:space="0" w:color="auto"/>
                <w:left w:val="none" w:sz="0" w:space="0" w:color="auto"/>
                <w:bottom w:val="none" w:sz="0" w:space="0" w:color="auto"/>
                <w:right w:val="none" w:sz="0" w:space="0" w:color="auto"/>
              </w:divBdr>
              <w:divsChild>
                <w:div w:id="990404211">
                  <w:marLeft w:val="0"/>
                  <w:marRight w:val="0"/>
                  <w:marTop w:val="0"/>
                  <w:marBottom w:val="0"/>
                  <w:divBdr>
                    <w:top w:val="none" w:sz="0" w:space="0" w:color="auto"/>
                    <w:left w:val="none" w:sz="0" w:space="0" w:color="auto"/>
                    <w:bottom w:val="none" w:sz="0" w:space="0" w:color="auto"/>
                    <w:right w:val="none" w:sz="0" w:space="0" w:color="auto"/>
                  </w:divBdr>
                  <w:divsChild>
                    <w:div w:id="1088115446">
                      <w:marLeft w:val="0"/>
                      <w:marRight w:val="0"/>
                      <w:marTop w:val="0"/>
                      <w:marBottom w:val="0"/>
                      <w:divBdr>
                        <w:top w:val="none" w:sz="0" w:space="0" w:color="auto"/>
                        <w:left w:val="none" w:sz="0" w:space="0" w:color="auto"/>
                        <w:bottom w:val="none" w:sz="0" w:space="0" w:color="auto"/>
                        <w:right w:val="none" w:sz="0" w:space="0" w:color="auto"/>
                      </w:divBdr>
                      <w:divsChild>
                        <w:div w:id="373189731">
                          <w:marLeft w:val="0"/>
                          <w:marRight w:val="0"/>
                          <w:marTop w:val="0"/>
                          <w:marBottom w:val="0"/>
                          <w:divBdr>
                            <w:top w:val="none" w:sz="0" w:space="0" w:color="auto"/>
                            <w:left w:val="none" w:sz="0" w:space="0" w:color="auto"/>
                            <w:bottom w:val="none" w:sz="0" w:space="0" w:color="auto"/>
                            <w:right w:val="none" w:sz="0" w:space="0" w:color="auto"/>
                          </w:divBdr>
                          <w:divsChild>
                            <w:div w:id="1404060249">
                              <w:marLeft w:val="0"/>
                              <w:marRight w:val="0"/>
                              <w:marTop w:val="0"/>
                              <w:marBottom w:val="0"/>
                              <w:divBdr>
                                <w:top w:val="none" w:sz="0" w:space="0" w:color="auto"/>
                                <w:left w:val="none" w:sz="0" w:space="0" w:color="auto"/>
                                <w:bottom w:val="none" w:sz="0" w:space="0" w:color="auto"/>
                                <w:right w:val="none" w:sz="0" w:space="0" w:color="auto"/>
                              </w:divBdr>
                            </w:div>
                            <w:div w:id="2059620622">
                              <w:marLeft w:val="0"/>
                              <w:marRight w:val="0"/>
                              <w:marTop w:val="0"/>
                              <w:marBottom w:val="0"/>
                              <w:divBdr>
                                <w:top w:val="none" w:sz="0" w:space="0" w:color="auto"/>
                                <w:left w:val="none" w:sz="0" w:space="0" w:color="auto"/>
                                <w:bottom w:val="none" w:sz="0" w:space="0" w:color="auto"/>
                                <w:right w:val="none" w:sz="0" w:space="0" w:color="auto"/>
                              </w:divBdr>
                              <w:divsChild>
                                <w:div w:id="1793473797">
                                  <w:marLeft w:val="0"/>
                                  <w:marRight w:val="0"/>
                                  <w:marTop w:val="0"/>
                                  <w:marBottom w:val="0"/>
                                  <w:divBdr>
                                    <w:top w:val="none" w:sz="0" w:space="0" w:color="auto"/>
                                    <w:left w:val="none" w:sz="0" w:space="0" w:color="auto"/>
                                    <w:bottom w:val="none" w:sz="0" w:space="0" w:color="auto"/>
                                    <w:right w:val="none" w:sz="0" w:space="0" w:color="auto"/>
                                  </w:divBdr>
                                  <w:divsChild>
                                    <w:div w:id="1808430881">
                                      <w:marLeft w:val="0"/>
                                      <w:marRight w:val="0"/>
                                      <w:marTop w:val="0"/>
                                      <w:marBottom w:val="0"/>
                                      <w:divBdr>
                                        <w:top w:val="none" w:sz="0" w:space="0" w:color="auto"/>
                                        <w:left w:val="none" w:sz="0" w:space="0" w:color="auto"/>
                                        <w:bottom w:val="none" w:sz="0" w:space="0" w:color="auto"/>
                                        <w:right w:val="none" w:sz="0" w:space="0" w:color="auto"/>
                                      </w:divBdr>
                                      <w:divsChild>
                                        <w:div w:id="2065399523">
                                          <w:marLeft w:val="0"/>
                                          <w:marRight w:val="0"/>
                                          <w:marTop w:val="0"/>
                                          <w:marBottom w:val="0"/>
                                          <w:divBdr>
                                            <w:top w:val="none" w:sz="0" w:space="0" w:color="auto"/>
                                            <w:left w:val="none" w:sz="0" w:space="0" w:color="auto"/>
                                            <w:bottom w:val="none" w:sz="0" w:space="0" w:color="auto"/>
                                            <w:right w:val="none" w:sz="0" w:space="0" w:color="auto"/>
                                          </w:divBdr>
                                          <w:divsChild>
                                            <w:div w:id="20950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ue-Phi-Le-Phi/Nghi-quyet-110-2025-UBTVQH15-muc-giam-tru-gia-canh-thue-thu-nhap-ca-nhan-66586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2026-01-13T02:22:00Z</dcterms:created>
  <dcterms:modified xsi:type="dcterms:W3CDTF">2026-01-13T02:22:00Z</dcterms:modified>
</cp:coreProperties>
</file>