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950C" w14:textId="77777777" w:rsidR="00B83C56" w:rsidRPr="001E2F3E" w:rsidRDefault="00B83C56" w:rsidP="001E2F3E">
      <w:pPr>
        <w:pStyle w:val="Heading3"/>
        <w:spacing w:before="0" w:line="360" w:lineRule="auto"/>
        <w:jc w:val="center"/>
        <w:rPr>
          <w:rFonts w:ascii="Times New Roman" w:eastAsia="Times New Roman" w:hAnsi="Times New Roman" w:cs="Times New Roman"/>
          <w:b/>
          <w:bCs/>
          <w:color w:val="000000" w:themeColor="text1"/>
          <w:sz w:val="32"/>
          <w:szCs w:val="32"/>
        </w:rPr>
      </w:pPr>
      <w:r w:rsidRPr="001E2F3E">
        <w:rPr>
          <w:rFonts w:ascii="Times New Roman" w:hAnsi="Times New Roman" w:cs="Times New Roman"/>
          <w:b/>
          <w:bCs/>
          <w:color w:val="000000" w:themeColor="text1"/>
          <w:sz w:val="32"/>
          <w:szCs w:val="32"/>
        </w:rPr>
        <w:t>Quy Định Mới Về Quản Lý Và Khấu Hao Tài Sản Nhà Nước: Những Điểm Nổi Bật Từ Thông Tư 141/2025/TT-BTC</w:t>
      </w:r>
    </w:p>
    <w:p w14:paraId="1C020C89" w14:textId="2DA0005C" w:rsidR="001E2F3E" w:rsidRPr="001E2F3E" w:rsidRDefault="001E2F3E" w:rsidP="001E2F3E">
      <w:pPr>
        <w:pStyle w:val="NormalWeb"/>
        <w:spacing w:before="0" w:beforeAutospacing="0" w:after="0" w:afterAutospacing="0" w:line="360" w:lineRule="auto"/>
        <w:jc w:val="right"/>
        <w:rPr>
          <w:color w:val="000000" w:themeColor="text1"/>
          <w:sz w:val="28"/>
          <w:szCs w:val="28"/>
          <w:lang w:val="en-US"/>
        </w:rPr>
      </w:pPr>
      <w:r>
        <w:rPr>
          <w:color w:val="000000" w:themeColor="text1"/>
          <w:sz w:val="28"/>
          <w:szCs w:val="28"/>
        </w:rPr>
        <w:tab/>
      </w:r>
      <w:proofErr w:type="spellStart"/>
      <w:r>
        <w:rPr>
          <w:color w:val="000000" w:themeColor="text1"/>
          <w:sz w:val="28"/>
          <w:szCs w:val="28"/>
          <w:lang w:val="en-US"/>
        </w:rPr>
        <w:t>Nguyễn</w:t>
      </w:r>
      <w:proofErr w:type="spellEnd"/>
      <w:r>
        <w:rPr>
          <w:color w:val="000000" w:themeColor="text1"/>
          <w:sz w:val="28"/>
          <w:szCs w:val="28"/>
          <w:lang w:val="en-US"/>
        </w:rPr>
        <w:t xml:space="preserve"> </w:t>
      </w:r>
      <w:proofErr w:type="spellStart"/>
      <w:r>
        <w:rPr>
          <w:color w:val="000000" w:themeColor="text1"/>
          <w:sz w:val="28"/>
          <w:szCs w:val="28"/>
          <w:lang w:val="en-US"/>
        </w:rPr>
        <w:t>Khánh</w:t>
      </w:r>
      <w:proofErr w:type="spellEnd"/>
      <w:r>
        <w:rPr>
          <w:color w:val="000000" w:themeColor="text1"/>
          <w:sz w:val="28"/>
          <w:szCs w:val="28"/>
          <w:lang w:val="en-US"/>
        </w:rPr>
        <w:t xml:space="preserve"> Thu </w:t>
      </w:r>
      <w:proofErr w:type="spellStart"/>
      <w:r>
        <w:rPr>
          <w:color w:val="000000" w:themeColor="text1"/>
          <w:sz w:val="28"/>
          <w:szCs w:val="28"/>
          <w:lang w:val="en-US"/>
        </w:rPr>
        <w:t>Hằng</w:t>
      </w:r>
      <w:proofErr w:type="spellEnd"/>
    </w:p>
    <w:p w14:paraId="7DA02BD2" w14:textId="04E85CAB" w:rsidR="001E2F3E" w:rsidRPr="001E2F3E" w:rsidRDefault="001E2F3E" w:rsidP="001E2F3E">
      <w:pPr>
        <w:pStyle w:val="NormalWeb"/>
        <w:spacing w:before="0" w:beforeAutospacing="0" w:after="0" w:afterAutospacing="0" w:line="360" w:lineRule="auto"/>
        <w:jc w:val="both"/>
        <w:rPr>
          <w:b/>
          <w:bCs/>
          <w:color w:val="000000" w:themeColor="text1"/>
          <w:sz w:val="28"/>
          <w:szCs w:val="28"/>
          <w:lang w:val="en-US"/>
        </w:rPr>
      </w:pPr>
      <w:proofErr w:type="spellStart"/>
      <w:r w:rsidRPr="001E2F3E">
        <w:rPr>
          <w:b/>
          <w:bCs/>
          <w:color w:val="000000" w:themeColor="text1"/>
          <w:sz w:val="28"/>
          <w:szCs w:val="28"/>
          <w:lang w:val="en-US"/>
        </w:rPr>
        <w:t>Tóm</w:t>
      </w:r>
      <w:proofErr w:type="spellEnd"/>
      <w:r w:rsidRPr="001E2F3E">
        <w:rPr>
          <w:b/>
          <w:bCs/>
          <w:color w:val="000000" w:themeColor="text1"/>
          <w:sz w:val="28"/>
          <w:szCs w:val="28"/>
          <w:lang w:val="en-US"/>
        </w:rPr>
        <w:t xml:space="preserve"> </w:t>
      </w:r>
      <w:proofErr w:type="spellStart"/>
      <w:r w:rsidRPr="001E2F3E">
        <w:rPr>
          <w:b/>
          <w:bCs/>
          <w:color w:val="000000" w:themeColor="text1"/>
          <w:sz w:val="28"/>
          <w:szCs w:val="28"/>
          <w:lang w:val="en-US"/>
        </w:rPr>
        <w:t>tắt</w:t>
      </w:r>
      <w:proofErr w:type="spellEnd"/>
    </w:p>
    <w:p w14:paraId="1FE3B66B" w14:textId="382C1CA5" w:rsidR="00B83C56" w:rsidRDefault="00B83C56" w:rsidP="001E2F3E">
      <w:pPr>
        <w:pStyle w:val="NormalWeb"/>
        <w:spacing w:before="0" w:beforeAutospacing="0" w:after="0" w:afterAutospacing="0" w:line="360" w:lineRule="auto"/>
        <w:ind w:firstLine="720"/>
        <w:jc w:val="both"/>
        <w:rPr>
          <w:color w:val="000000" w:themeColor="text1"/>
          <w:sz w:val="28"/>
          <w:szCs w:val="28"/>
        </w:rPr>
      </w:pPr>
      <w:r w:rsidRPr="001E2F3E">
        <w:rPr>
          <w:color w:val="000000" w:themeColor="text1"/>
          <w:sz w:val="28"/>
          <w:szCs w:val="28"/>
        </w:rPr>
        <w:t>Vào cuối năm 2025, Bộ Tài chính đã chính thức ban hành Thông tư số 141/2025/TT-BTC, đánh dấu một bước tiến quan trọng trong việc hoàn thiện hệ thống pháp lý liên quan đến quản lý tài sản công. Văn bản này, có hiệu lực từ ngày 1/1/2026 và áp dụng cho năm tài chính 2026, thay thế cho Thông tư 23/2023/TT-BTC trước đó, nhằm nâng cao tính minh bạch và hiệu quả trong việc theo dõi, tính toán hao mòn cũng như khấu hao tài sản cố định (TSCĐ) tại các cơ quan nhà nước, tổ chức, đơn vị sự nghiệp công lập và cả những TSCĐ mà Nhà nước giao cho doanh nghiệp quản lý mà không tính vào vốn nhà nước.</w:t>
      </w:r>
    </w:p>
    <w:p w14:paraId="0F53A629" w14:textId="654A4CE4" w:rsidR="001E2F3E" w:rsidRPr="001E2F3E" w:rsidRDefault="001E2F3E" w:rsidP="001E2F3E">
      <w:pPr>
        <w:pStyle w:val="NormalWeb"/>
        <w:spacing w:before="0" w:beforeAutospacing="0" w:after="0" w:afterAutospacing="0" w:line="360" w:lineRule="auto"/>
        <w:ind w:firstLine="720"/>
        <w:jc w:val="both"/>
        <w:rPr>
          <w:i/>
          <w:iCs/>
          <w:color w:val="000000" w:themeColor="text1"/>
          <w:sz w:val="28"/>
          <w:szCs w:val="28"/>
          <w:lang w:val="en-US"/>
        </w:rPr>
      </w:pPr>
      <w:proofErr w:type="spellStart"/>
      <w:r>
        <w:rPr>
          <w:i/>
          <w:iCs/>
          <w:color w:val="000000" w:themeColor="text1"/>
          <w:sz w:val="28"/>
          <w:szCs w:val="28"/>
          <w:lang w:val="en-US"/>
        </w:rPr>
        <w:t>Từ</w:t>
      </w:r>
      <w:proofErr w:type="spellEnd"/>
      <w:r>
        <w:rPr>
          <w:i/>
          <w:iCs/>
          <w:color w:val="000000" w:themeColor="text1"/>
          <w:sz w:val="28"/>
          <w:szCs w:val="28"/>
          <w:lang w:val="en-US"/>
        </w:rPr>
        <w:t xml:space="preserve"> </w:t>
      </w:r>
      <w:proofErr w:type="spellStart"/>
      <w:r>
        <w:rPr>
          <w:i/>
          <w:iCs/>
          <w:color w:val="000000" w:themeColor="text1"/>
          <w:sz w:val="28"/>
          <w:szCs w:val="28"/>
          <w:lang w:val="en-US"/>
        </w:rPr>
        <w:t>khoá</w:t>
      </w:r>
      <w:proofErr w:type="spellEnd"/>
      <w:r>
        <w:rPr>
          <w:i/>
          <w:iCs/>
          <w:color w:val="000000" w:themeColor="text1"/>
          <w:sz w:val="28"/>
          <w:szCs w:val="28"/>
          <w:lang w:val="en-US"/>
        </w:rPr>
        <w:t>: TSCĐ, ….</w:t>
      </w:r>
    </w:p>
    <w:p w14:paraId="7DD9DE2A" w14:textId="77777777" w:rsidR="00B83C56" w:rsidRPr="001E2F3E" w:rsidRDefault="00B83C56" w:rsidP="001E2F3E">
      <w:pPr>
        <w:pStyle w:val="Heading4"/>
        <w:spacing w:before="0" w:line="360" w:lineRule="auto"/>
        <w:jc w:val="both"/>
        <w:rPr>
          <w:rFonts w:ascii="Times New Roman" w:hAnsi="Times New Roman" w:cs="Times New Roman"/>
          <w:b/>
          <w:bCs/>
          <w:i w:val="0"/>
          <w:iCs w:val="0"/>
          <w:color w:val="000000" w:themeColor="text1"/>
          <w:sz w:val="28"/>
          <w:szCs w:val="28"/>
        </w:rPr>
      </w:pPr>
      <w:r w:rsidRPr="001E2F3E">
        <w:rPr>
          <w:rFonts w:ascii="Times New Roman" w:hAnsi="Times New Roman" w:cs="Times New Roman"/>
          <w:b/>
          <w:bCs/>
          <w:i w:val="0"/>
          <w:iCs w:val="0"/>
          <w:color w:val="000000" w:themeColor="text1"/>
          <w:sz w:val="28"/>
          <w:szCs w:val="28"/>
        </w:rPr>
        <w:t>Phạm Vi Áp Dụng Và Mục Tiêu Chính</w:t>
      </w:r>
    </w:p>
    <w:p w14:paraId="2A2CF369" w14:textId="77777777" w:rsidR="00B83C56" w:rsidRPr="001E2F3E" w:rsidRDefault="00B83C56" w:rsidP="001E2F3E">
      <w:pPr>
        <w:pStyle w:val="NormalWeb"/>
        <w:spacing w:before="0" w:beforeAutospacing="0" w:after="0" w:afterAutospacing="0" w:line="360" w:lineRule="auto"/>
        <w:ind w:firstLine="720"/>
        <w:jc w:val="both"/>
        <w:rPr>
          <w:color w:val="000000" w:themeColor="text1"/>
          <w:sz w:val="28"/>
          <w:szCs w:val="28"/>
        </w:rPr>
      </w:pPr>
      <w:r w:rsidRPr="001E2F3E">
        <w:rPr>
          <w:color w:val="000000" w:themeColor="text1"/>
          <w:sz w:val="28"/>
          <w:szCs w:val="28"/>
        </w:rPr>
        <w:t>Thông tư mới tập trung vào việc quy định chi tiết chế độ quản lý TSCĐ, bao gồm cả TSCĐ hữu hình và vô hình. Cụ thể, nó hướng dẫn cách xác định nguyên giá, mức độ hao mòn, tỷ lệ khấu hao và giá trị còn lại của tài sản, đảm bảo rằng mọi hoạt động hạch toán đều được thực hiện một cách chính xác và kịp thời. Phạm vi điều chỉnh bao quát rộng rãi, từ các cơ quan trung ương đến địa phương, và đặc biệt nhấn mạnh trách nhiệm của doanh nghiệp nhận TSCĐ từ Nhà nước mà không phải ghi nhận vào vốn góp. Mục tiêu cốt lõi là thúc đẩy sự minh bạch trong quản lý tài sản công, hỗ trợ quá trình sắp xếp lại bộ máy hành chính và đổi mới cơ chế tài chính nhà nước từ năm 2026 trở đi.</w:t>
      </w:r>
    </w:p>
    <w:p w14:paraId="1982CA41" w14:textId="77777777" w:rsidR="00B83C56" w:rsidRPr="001E2F3E" w:rsidRDefault="00B83C56" w:rsidP="001E2F3E">
      <w:pPr>
        <w:pStyle w:val="NormalWeb"/>
        <w:spacing w:before="0" w:beforeAutospacing="0" w:after="0" w:afterAutospacing="0" w:line="360" w:lineRule="auto"/>
        <w:ind w:firstLine="720"/>
        <w:jc w:val="both"/>
        <w:rPr>
          <w:color w:val="000000" w:themeColor="text1"/>
          <w:sz w:val="28"/>
          <w:szCs w:val="28"/>
        </w:rPr>
      </w:pPr>
      <w:r w:rsidRPr="001E2F3E">
        <w:rPr>
          <w:color w:val="000000" w:themeColor="text1"/>
          <w:sz w:val="28"/>
          <w:szCs w:val="28"/>
        </w:rPr>
        <w:t>Một điểm đáng chú ý là việc xử lý TSCĐ vô hình, chẳng hạn như phần mềm, quyền sử dụng đất hoặc bằng sáng chế. Thông tư cung cấp hướng dẫn cụ thể về cách tính nguyên giá cho loại tài sản này tại các cơ quan nhà nước, giúp tránh tình trạng bỏ sót hoặc tính toán sai lệch, từ đó nâng cao độ chính xác trong báo cáo tài chính.</w:t>
      </w:r>
    </w:p>
    <w:p w14:paraId="4995E18D" w14:textId="77777777" w:rsidR="00B83C56" w:rsidRPr="001E2F3E" w:rsidRDefault="00B83C56" w:rsidP="001E2F3E">
      <w:pPr>
        <w:pStyle w:val="Heading4"/>
        <w:spacing w:before="0" w:line="360" w:lineRule="auto"/>
        <w:jc w:val="both"/>
        <w:rPr>
          <w:rFonts w:ascii="Times New Roman" w:hAnsi="Times New Roman" w:cs="Times New Roman"/>
          <w:b/>
          <w:bCs/>
          <w:i w:val="0"/>
          <w:iCs w:val="0"/>
          <w:color w:val="000000" w:themeColor="text1"/>
          <w:sz w:val="28"/>
          <w:szCs w:val="28"/>
        </w:rPr>
      </w:pPr>
      <w:r w:rsidRPr="001E2F3E">
        <w:rPr>
          <w:rFonts w:ascii="Times New Roman" w:hAnsi="Times New Roman" w:cs="Times New Roman"/>
          <w:b/>
          <w:bCs/>
          <w:i w:val="0"/>
          <w:iCs w:val="0"/>
          <w:color w:val="000000" w:themeColor="text1"/>
          <w:sz w:val="28"/>
          <w:szCs w:val="28"/>
        </w:rPr>
        <w:lastRenderedPageBreak/>
        <w:t>Các Yêu Cầu Triển Khai Chính Từ Bộ Tài Chính</w:t>
      </w:r>
    </w:p>
    <w:p w14:paraId="15FAB212" w14:textId="77777777" w:rsidR="00B83C56" w:rsidRPr="001E2F3E" w:rsidRDefault="00B83C56" w:rsidP="001E2F3E">
      <w:pPr>
        <w:pStyle w:val="NormalWeb"/>
        <w:spacing w:before="0" w:beforeAutospacing="0" w:after="0" w:afterAutospacing="0" w:line="360" w:lineRule="auto"/>
        <w:ind w:firstLine="720"/>
        <w:jc w:val="both"/>
        <w:rPr>
          <w:color w:val="000000" w:themeColor="text1"/>
          <w:sz w:val="28"/>
          <w:szCs w:val="28"/>
        </w:rPr>
      </w:pPr>
      <w:r w:rsidRPr="001E2F3E">
        <w:rPr>
          <w:color w:val="000000" w:themeColor="text1"/>
          <w:sz w:val="28"/>
          <w:szCs w:val="28"/>
        </w:rPr>
        <w:t>Để đảm bảo thông tư được áp dụng đồng bộ, Bộ Tài chính đã gửi công văn hướng dẫn đến các bộ, ngành, cơ quan trung ương và UBND các tỉnh, thành phố trực thuộc trung ương. Các đơn vị liên quan được yêu cầu tập trung vào một số nhiệm vụ then chốt:</w:t>
      </w:r>
    </w:p>
    <w:p w14:paraId="4D8E19D4" w14:textId="77777777" w:rsidR="00B83C56" w:rsidRPr="001E2F3E" w:rsidRDefault="00B83C56" w:rsidP="001E2F3E">
      <w:pPr>
        <w:numPr>
          <w:ilvl w:val="0"/>
          <w:numId w:val="1"/>
        </w:numPr>
        <w:spacing w:line="360" w:lineRule="auto"/>
        <w:jc w:val="both"/>
        <w:rPr>
          <w:rFonts w:ascii="Times New Roman" w:hAnsi="Times New Roman" w:cs="Times New Roman"/>
          <w:color w:val="000000" w:themeColor="text1"/>
          <w:sz w:val="28"/>
          <w:szCs w:val="28"/>
        </w:rPr>
      </w:pPr>
      <w:r w:rsidRPr="001E2F3E">
        <w:rPr>
          <w:rStyle w:val="Strong"/>
          <w:rFonts w:ascii="Times New Roman" w:hAnsi="Times New Roman" w:cs="Times New Roman"/>
          <w:color w:val="000000" w:themeColor="text1"/>
          <w:sz w:val="28"/>
          <w:szCs w:val="28"/>
        </w:rPr>
        <w:t>Tuyên Truyền Và Phổ Biến Quy Định</w:t>
      </w:r>
      <w:r w:rsidRPr="001E2F3E">
        <w:rPr>
          <w:rFonts w:ascii="Times New Roman" w:hAnsi="Times New Roman" w:cs="Times New Roman"/>
          <w:color w:val="000000" w:themeColor="text1"/>
          <w:sz w:val="28"/>
          <w:szCs w:val="28"/>
        </w:rPr>
        <w:t>: Các cơ quan cần tổ chức các buổi hướng dẫn, đào tạo để đảm bảo tất cả đối tượng chịu ảnh hưởng nắm rõ nội dung. Điều này bao gồm việc hướng dẫn xác định nguyên giá TSCĐ, tính toán hao mòn, trích khấu hao và đánh giá giá trị còn lại, nhằm tránh sai sót trong thực tiễn.</w:t>
      </w:r>
    </w:p>
    <w:p w14:paraId="5F81CA2F" w14:textId="77777777" w:rsidR="00B83C56" w:rsidRPr="001E2F3E" w:rsidRDefault="00B83C56" w:rsidP="001E2F3E">
      <w:pPr>
        <w:numPr>
          <w:ilvl w:val="0"/>
          <w:numId w:val="1"/>
        </w:numPr>
        <w:spacing w:line="360" w:lineRule="auto"/>
        <w:jc w:val="both"/>
        <w:rPr>
          <w:rFonts w:ascii="Times New Roman" w:hAnsi="Times New Roman" w:cs="Times New Roman"/>
          <w:color w:val="000000" w:themeColor="text1"/>
          <w:sz w:val="28"/>
          <w:szCs w:val="28"/>
        </w:rPr>
      </w:pPr>
      <w:r w:rsidRPr="001E2F3E">
        <w:rPr>
          <w:rStyle w:val="Strong"/>
          <w:rFonts w:ascii="Times New Roman" w:hAnsi="Times New Roman" w:cs="Times New Roman"/>
          <w:color w:val="000000" w:themeColor="text1"/>
          <w:sz w:val="28"/>
          <w:szCs w:val="28"/>
        </w:rPr>
        <w:t>Hạch Toán Kịp Thời Sau Đầu Tư</w:t>
      </w:r>
      <w:r w:rsidRPr="001E2F3E">
        <w:rPr>
          <w:rFonts w:ascii="Times New Roman" w:hAnsi="Times New Roman" w:cs="Times New Roman"/>
          <w:color w:val="000000" w:themeColor="text1"/>
          <w:sz w:val="28"/>
          <w:szCs w:val="28"/>
        </w:rPr>
        <w:t>: Các chủ đầu tư và ban quản lý dự án phải ghi nhận TSCĐ ngay khi đưa vào sử dụng, bất kể dự án đã quyết toán hay chưa. Điều này giúp tránh tình trạng trì hoãn hạch toán, đảm bảo tài sản được theo dõi đầy đủ từ giai đoạn đầu.</w:t>
      </w:r>
    </w:p>
    <w:p w14:paraId="113643B2" w14:textId="77777777" w:rsidR="00B83C56" w:rsidRPr="001E2F3E" w:rsidRDefault="00B83C56" w:rsidP="001E2F3E">
      <w:pPr>
        <w:numPr>
          <w:ilvl w:val="0"/>
          <w:numId w:val="1"/>
        </w:numPr>
        <w:spacing w:line="360" w:lineRule="auto"/>
        <w:jc w:val="both"/>
        <w:rPr>
          <w:rFonts w:ascii="Times New Roman" w:hAnsi="Times New Roman" w:cs="Times New Roman"/>
          <w:color w:val="000000" w:themeColor="text1"/>
          <w:sz w:val="28"/>
          <w:szCs w:val="28"/>
        </w:rPr>
      </w:pPr>
      <w:r w:rsidRPr="001E2F3E">
        <w:rPr>
          <w:rStyle w:val="Strong"/>
          <w:rFonts w:ascii="Times New Roman" w:hAnsi="Times New Roman" w:cs="Times New Roman"/>
          <w:color w:val="000000" w:themeColor="text1"/>
          <w:sz w:val="28"/>
          <w:szCs w:val="28"/>
        </w:rPr>
        <w:t>Ban Hành Danh Mục Đặc Thù</w:t>
      </w:r>
      <w:r w:rsidRPr="001E2F3E">
        <w:rPr>
          <w:rFonts w:ascii="Times New Roman" w:hAnsi="Times New Roman" w:cs="Times New Roman"/>
          <w:color w:val="000000" w:themeColor="text1"/>
          <w:sz w:val="28"/>
          <w:szCs w:val="28"/>
        </w:rPr>
        <w:t>: Các bộ, ngành và địa phương phải xây dựng danh mục TSCĐ đặc thù trong lĩnh vực quản lý của mình, đồng thời quy định thời gian sử dụng, tỷ lệ hao mòn cho TSCĐ vô hình. Ngoài ra, cần tuân thủ nghiêm ngặt các quy định chuyển tiếp tại Điều 18, đặc biệt với TSCĐ đã điều chuyển trước ngày 1/1/2026 hoặc thuộc đơn vị đã giải thể do tái cấu trúc bộ máy.</w:t>
      </w:r>
    </w:p>
    <w:p w14:paraId="608F334D" w14:textId="77777777" w:rsidR="00B83C56" w:rsidRPr="001E2F3E" w:rsidRDefault="00B83C56" w:rsidP="001E2F3E">
      <w:pPr>
        <w:pStyle w:val="Heading4"/>
        <w:spacing w:before="0" w:line="360" w:lineRule="auto"/>
        <w:jc w:val="both"/>
        <w:rPr>
          <w:rFonts w:ascii="Times New Roman" w:hAnsi="Times New Roman" w:cs="Times New Roman"/>
          <w:b/>
          <w:bCs/>
          <w:i w:val="0"/>
          <w:iCs w:val="0"/>
          <w:color w:val="000000" w:themeColor="text1"/>
          <w:sz w:val="28"/>
          <w:szCs w:val="28"/>
        </w:rPr>
      </w:pPr>
      <w:r w:rsidRPr="001E2F3E">
        <w:rPr>
          <w:rFonts w:ascii="Times New Roman" w:hAnsi="Times New Roman" w:cs="Times New Roman"/>
          <w:b/>
          <w:bCs/>
          <w:i w:val="0"/>
          <w:iCs w:val="0"/>
          <w:color w:val="000000" w:themeColor="text1"/>
          <w:sz w:val="28"/>
          <w:szCs w:val="28"/>
        </w:rPr>
        <w:t>Tác Động Và Lợi Ích Dài Hạn</w:t>
      </w:r>
    </w:p>
    <w:p w14:paraId="70AFF573" w14:textId="77777777" w:rsidR="00B83C56" w:rsidRPr="001E2F3E" w:rsidRDefault="00B83C56" w:rsidP="001E2F3E">
      <w:pPr>
        <w:pStyle w:val="NormalWeb"/>
        <w:spacing w:before="0" w:beforeAutospacing="0" w:after="0" w:afterAutospacing="0" w:line="360" w:lineRule="auto"/>
        <w:ind w:firstLine="720"/>
        <w:jc w:val="both"/>
        <w:rPr>
          <w:color w:val="000000" w:themeColor="text1"/>
          <w:sz w:val="28"/>
          <w:szCs w:val="28"/>
        </w:rPr>
      </w:pPr>
      <w:r w:rsidRPr="001E2F3E">
        <w:rPr>
          <w:color w:val="000000" w:themeColor="text1"/>
          <w:sz w:val="28"/>
          <w:szCs w:val="28"/>
        </w:rPr>
        <w:t>Việc áp dụng Thông tư 141/2025/TT-BTC dự kiến sẽ góp phần lớn vào việc nâng cao hiệu quả sử dụng tài sản nhà nước, đặc biệt trong bối cảnh Việt Nam đang đẩy mạnh cải cách hành chính và số hóa quản lý tài chính. Bằng cách siết chặt quy trình hạch toán, thông tư giúp giảm thiểu lãng phí, tăng tính minh bạch và hỗ trợ các quyết định đầu tư công hiệu quả hơn. Tuy nhiên, các đơn vị cần chú ý đến các vướng mắc tiềm ẩn, như trường hợp TSCĐ đặc thù chưa có danh mục rõ ràng, và báo cáo kịp thời về Bộ Tài chính để được hỗ trợ.</w:t>
      </w:r>
    </w:p>
    <w:p w14:paraId="058508D8" w14:textId="77777777" w:rsidR="00B83C56" w:rsidRPr="001E2F3E" w:rsidRDefault="00B83C56" w:rsidP="001E2F3E">
      <w:pPr>
        <w:pStyle w:val="Heading3"/>
        <w:spacing w:before="0" w:line="360" w:lineRule="auto"/>
        <w:jc w:val="both"/>
        <w:rPr>
          <w:rFonts w:ascii="Times New Roman" w:eastAsia="Times New Roman" w:hAnsi="Times New Roman" w:cs="Times New Roman"/>
          <w:b/>
          <w:bCs/>
          <w:color w:val="000000" w:themeColor="text1"/>
          <w:sz w:val="28"/>
          <w:szCs w:val="28"/>
        </w:rPr>
      </w:pPr>
      <w:r w:rsidRPr="001E2F3E">
        <w:rPr>
          <w:rFonts w:ascii="Times New Roman" w:hAnsi="Times New Roman" w:cs="Times New Roman"/>
          <w:b/>
          <w:bCs/>
          <w:color w:val="000000" w:themeColor="text1"/>
          <w:sz w:val="28"/>
          <w:szCs w:val="28"/>
        </w:rPr>
        <w:lastRenderedPageBreak/>
        <w:t>Kết Luận</w:t>
      </w:r>
    </w:p>
    <w:p w14:paraId="5B787BA4" w14:textId="77777777" w:rsidR="001E2F3E" w:rsidRDefault="001E2F3E" w:rsidP="001E2F3E">
      <w:pPr>
        <w:pStyle w:val="Heading3"/>
        <w:spacing w:before="0" w:line="360" w:lineRule="auto"/>
        <w:ind w:firstLine="72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val="en-US"/>
        </w:rPr>
        <w:t>Tóm</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lại</w:t>
      </w:r>
      <w:proofErr w:type="spellEnd"/>
      <w:r>
        <w:rPr>
          <w:rFonts w:ascii="Times New Roman" w:hAnsi="Times New Roman" w:cs="Times New Roman"/>
          <w:color w:val="000000" w:themeColor="text1"/>
          <w:sz w:val="28"/>
          <w:szCs w:val="28"/>
          <w:lang w:val="en-US"/>
        </w:rPr>
        <w:t xml:space="preserve">, </w:t>
      </w:r>
      <w:r w:rsidRPr="001E2F3E">
        <w:rPr>
          <w:rFonts w:ascii="Times New Roman" w:hAnsi="Times New Roman" w:cs="Times New Roman"/>
          <w:color w:val="000000" w:themeColor="text1"/>
          <w:sz w:val="28"/>
          <w:szCs w:val="28"/>
        </w:rPr>
        <w:t>quy định mới này không chỉ là công cụ quản lý mà còn là nền tảng cho sự phát triển bền vững của hệ thống tài chính công, đảm bảo rằng mọi tài sản nhà nước đều được khai thác tối ưu trong giai đoạn chuyển đổi số và hội nhập kinh tế. Các cơ quan liên quan nên chuẩn bị kỹ lưỡng để tránh gián đoạn trong hoạt động từ đầu năm 2026.</w:t>
      </w:r>
    </w:p>
    <w:p w14:paraId="30F87900" w14:textId="20363ABF" w:rsidR="00B83C56" w:rsidRPr="001E2F3E" w:rsidRDefault="00B83C56" w:rsidP="001E2F3E">
      <w:pPr>
        <w:pStyle w:val="Heading3"/>
        <w:spacing w:before="0" w:line="360" w:lineRule="auto"/>
        <w:jc w:val="both"/>
        <w:rPr>
          <w:rFonts w:ascii="Times New Roman" w:hAnsi="Times New Roman" w:cs="Times New Roman"/>
          <w:b/>
          <w:bCs/>
          <w:color w:val="000000" w:themeColor="text1"/>
          <w:sz w:val="28"/>
          <w:szCs w:val="28"/>
        </w:rPr>
      </w:pPr>
      <w:r w:rsidRPr="001E2F3E">
        <w:rPr>
          <w:rFonts w:ascii="Times New Roman" w:hAnsi="Times New Roman" w:cs="Times New Roman"/>
          <w:b/>
          <w:bCs/>
          <w:color w:val="000000" w:themeColor="text1"/>
          <w:sz w:val="28"/>
          <w:szCs w:val="28"/>
        </w:rPr>
        <w:t>Tài Liệu Tham Khảo</w:t>
      </w:r>
    </w:p>
    <w:p w14:paraId="4746B703" w14:textId="14FA175A" w:rsidR="00B83C56" w:rsidRPr="001E2F3E" w:rsidRDefault="00B83C56" w:rsidP="001E2F3E">
      <w:pPr>
        <w:pStyle w:val="ListParagraph"/>
        <w:numPr>
          <w:ilvl w:val="0"/>
          <w:numId w:val="2"/>
        </w:numPr>
        <w:spacing w:line="360" w:lineRule="auto"/>
        <w:jc w:val="both"/>
        <w:rPr>
          <w:rFonts w:ascii="Times New Roman" w:hAnsi="Times New Roman" w:cs="Times New Roman"/>
          <w:color w:val="000000" w:themeColor="text1"/>
          <w:sz w:val="28"/>
          <w:szCs w:val="28"/>
        </w:rPr>
      </w:pPr>
      <w:r w:rsidRPr="001E2F3E">
        <w:rPr>
          <w:rFonts w:ascii="Times New Roman" w:hAnsi="Times New Roman" w:cs="Times New Roman"/>
          <w:color w:val="000000" w:themeColor="text1"/>
          <w:sz w:val="28"/>
          <w:szCs w:val="28"/>
        </w:rPr>
        <w:t xml:space="preserve">Thông tư 141/2025/TT-BTC của Bộ Tài chính </w:t>
      </w:r>
    </w:p>
    <w:p w14:paraId="1D132574" w14:textId="77777777" w:rsidR="00B83C56" w:rsidRPr="001E2F3E" w:rsidRDefault="00B83C56" w:rsidP="001E2F3E">
      <w:pPr>
        <w:numPr>
          <w:ilvl w:val="0"/>
          <w:numId w:val="2"/>
        </w:numPr>
        <w:spacing w:line="360" w:lineRule="auto"/>
        <w:jc w:val="both"/>
        <w:rPr>
          <w:rFonts w:ascii="Times New Roman" w:hAnsi="Times New Roman" w:cs="Times New Roman"/>
          <w:color w:val="000000" w:themeColor="text1"/>
          <w:sz w:val="28"/>
          <w:szCs w:val="28"/>
        </w:rPr>
      </w:pPr>
      <w:r w:rsidRPr="001E2F3E">
        <w:rPr>
          <w:rFonts w:ascii="Times New Roman" w:hAnsi="Times New Roman" w:cs="Times New Roman"/>
          <w:color w:val="000000" w:themeColor="text1"/>
          <w:sz w:val="28"/>
          <w:szCs w:val="28"/>
        </w:rPr>
        <w:t>Thông tư 23/2023/TT-BTC</w:t>
      </w:r>
    </w:p>
    <w:p w14:paraId="1561255F" w14:textId="77777777" w:rsidR="00B83C56" w:rsidRPr="001E2F3E" w:rsidRDefault="00B83C56" w:rsidP="001E2F3E">
      <w:pPr>
        <w:spacing w:line="360" w:lineRule="auto"/>
        <w:jc w:val="both"/>
        <w:rPr>
          <w:rFonts w:ascii="Times New Roman" w:hAnsi="Times New Roman" w:cs="Times New Roman"/>
          <w:color w:val="000000" w:themeColor="text1"/>
          <w:sz w:val="28"/>
          <w:szCs w:val="28"/>
        </w:rPr>
      </w:pPr>
    </w:p>
    <w:sectPr w:rsidR="00B83C56" w:rsidRPr="001E2F3E"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2D76"/>
    <w:multiLevelType w:val="multilevel"/>
    <w:tmpl w:val="952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406CF"/>
    <w:multiLevelType w:val="multilevel"/>
    <w:tmpl w:val="761CA196"/>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008467">
    <w:abstractNumId w:val="0"/>
  </w:num>
  <w:num w:numId="2" w16cid:durableId="71154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56"/>
    <w:rsid w:val="00001522"/>
    <w:rsid w:val="00002438"/>
    <w:rsid w:val="000030DC"/>
    <w:rsid w:val="00004A3B"/>
    <w:rsid w:val="00006469"/>
    <w:rsid w:val="00006B49"/>
    <w:rsid w:val="00011A7B"/>
    <w:rsid w:val="00013F82"/>
    <w:rsid w:val="00014A7A"/>
    <w:rsid w:val="0001745E"/>
    <w:rsid w:val="0002049D"/>
    <w:rsid w:val="00021606"/>
    <w:rsid w:val="00021943"/>
    <w:rsid w:val="00022756"/>
    <w:rsid w:val="00023761"/>
    <w:rsid w:val="00023B77"/>
    <w:rsid w:val="000301A9"/>
    <w:rsid w:val="00033D0F"/>
    <w:rsid w:val="00037080"/>
    <w:rsid w:val="00040DD2"/>
    <w:rsid w:val="00041F3A"/>
    <w:rsid w:val="00043A04"/>
    <w:rsid w:val="00043A57"/>
    <w:rsid w:val="00046E2A"/>
    <w:rsid w:val="000473A1"/>
    <w:rsid w:val="000474B9"/>
    <w:rsid w:val="000545B4"/>
    <w:rsid w:val="0005549E"/>
    <w:rsid w:val="00060208"/>
    <w:rsid w:val="00062C84"/>
    <w:rsid w:val="000672EB"/>
    <w:rsid w:val="00070753"/>
    <w:rsid w:val="0007114D"/>
    <w:rsid w:val="0007317E"/>
    <w:rsid w:val="0007479A"/>
    <w:rsid w:val="00082D25"/>
    <w:rsid w:val="00083C2C"/>
    <w:rsid w:val="00085C5A"/>
    <w:rsid w:val="0008677E"/>
    <w:rsid w:val="000871C5"/>
    <w:rsid w:val="00093ACF"/>
    <w:rsid w:val="00094F3F"/>
    <w:rsid w:val="000A11D8"/>
    <w:rsid w:val="000A1542"/>
    <w:rsid w:val="000A2285"/>
    <w:rsid w:val="000A30D6"/>
    <w:rsid w:val="000A4ED0"/>
    <w:rsid w:val="000A5337"/>
    <w:rsid w:val="000B10A0"/>
    <w:rsid w:val="000B58FA"/>
    <w:rsid w:val="000C345B"/>
    <w:rsid w:val="000C59D5"/>
    <w:rsid w:val="000C7C4E"/>
    <w:rsid w:val="000D3216"/>
    <w:rsid w:val="000E6DCC"/>
    <w:rsid w:val="000F3C40"/>
    <w:rsid w:val="000F604A"/>
    <w:rsid w:val="000F67FC"/>
    <w:rsid w:val="001017BF"/>
    <w:rsid w:val="00103741"/>
    <w:rsid w:val="0010610D"/>
    <w:rsid w:val="0010671A"/>
    <w:rsid w:val="00110837"/>
    <w:rsid w:val="001109F3"/>
    <w:rsid w:val="00111ECC"/>
    <w:rsid w:val="0011348D"/>
    <w:rsid w:val="001157B2"/>
    <w:rsid w:val="00117465"/>
    <w:rsid w:val="00122288"/>
    <w:rsid w:val="0012537D"/>
    <w:rsid w:val="00126D3A"/>
    <w:rsid w:val="00133C1C"/>
    <w:rsid w:val="00137678"/>
    <w:rsid w:val="0014083A"/>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6C38"/>
    <w:rsid w:val="001A2906"/>
    <w:rsid w:val="001A49A4"/>
    <w:rsid w:val="001A581A"/>
    <w:rsid w:val="001A5CAE"/>
    <w:rsid w:val="001A7AE1"/>
    <w:rsid w:val="001B0E32"/>
    <w:rsid w:val="001B2BBA"/>
    <w:rsid w:val="001B488A"/>
    <w:rsid w:val="001B67A1"/>
    <w:rsid w:val="001B683A"/>
    <w:rsid w:val="001B6843"/>
    <w:rsid w:val="001B7E1D"/>
    <w:rsid w:val="001C2176"/>
    <w:rsid w:val="001C3B85"/>
    <w:rsid w:val="001C4ED7"/>
    <w:rsid w:val="001C7C59"/>
    <w:rsid w:val="001D0826"/>
    <w:rsid w:val="001D7360"/>
    <w:rsid w:val="001E2F3E"/>
    <w:rsid w:val="001E58CC"/>
    <w:rsid w:val="001E683D"/>
    <w:rsid w:val="001E6CB9"/>
    <w:rsid w:val="001F291F"/>
    <w:rsid w:val="001F4F8B"/>
    <w:rsid w:val="001F6843"/>
    <w:rsid w:val="0020330E"/>
    <w:rsid w:val="00205D37"/>
    <w:rsid w:val="002077F2"/>
    <w:rsid w:val="00210020"/>
    <w:rsid w:val="002127B9"/>
    <w:rsid w:val="00212F84"/>
    <w:rsid w:val="0021629B"/>
    <w:rsid w:val="0023171A"/>
    <w:rsid w:val="00231CD3"/>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73FFC"/>
    <w:rsid w:val="002760C9"/>
    <w:rsid w:val="00282327"/>
    <w:rsid w:val="00283877"/>
    <w:rsid w:val="00286658"/>
    <w:rsid w:val="00286AB4"/>
    <w:rsid w:val="002900C8"/>
    <w:rsid w:val="00290113"/>
    <w:rsid w:val="002918BE"/>
    <w:rsid w:val="00293823"/>
    <w:rsid w:val="00297150"/>
    <w:rsid w:val="002A0AFC"/>
    <w:rsid w:val="002A1152"/>
    <w:rsid w:val="002A14A5"/>
    <w:rsid w:val="002A1FBB"/>
    <w:rsid w:val="002A2893"/>
    <w:rsid w:val="002A3692"/>
    <w:rsid w:val="002A48EA"/>
    <w:rsid w:val="002A5A15"/>
    <w:rsid w:val="002B1BDC"/>
    <w:rsid w:val="002B27E0"/>
    <w:rsid w:val="002B2DBC"/>
    <w:rsid w:val="002C5325"/>
    <w:rsid w:val="002D17C4"/>
    <w:rsid w:val="002D1B20"/>
    <w:rsid w:val="002D4A66"/>
    <w:rsid w:val="002D6DE3"/>
    <w:rsid w:val="002D745C"/>
    <w:rsid w:val="002E2A70"/>
    <w:rsid w:val="002F14AA"/>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FB"/>
    <w:rsid w:val="00342731"/>
    <w:rsid w:val="003443DE"/>
    <w:rsid w:val="00346B38"/>
    <w:rsid w:val="003471FB"/>
    <w:rsid w:val="003478F7"/>
    <w:rsid w:val="0035047F"/>
    <w:rsid w:val="003516A6"/>
    <w:rsid w:val="003553EF"/>
    <w:rsid w:val="00360092"/>
    <w:rsid w:val="003618C6"/>
    <w:rsid w:val="003678C0"/>
    <w:rsid w:val="003716A2"/>
    <w:rsid w:val="00373CC9"/>
    <w:rsid w:val="00373F7E"/>
    <w:rsid w:val="00375247"/>
    <w:rsid w:val="00380D61"/>
    <w:rsid w:val="00383CB4"/>
    <w:rsid w:val="003928D3"/>
    <w:rsid w:val="003941B3"/>
    <w:rsid w:val="0039501A"/>
    <w:rsid w:val="00397DB0"/>
    <w:rsid w:val="003A0D2F"/>
    <w:rsid w:val="003A11A0"/>
    <w:rsid w:val="003A6E24"/>
    <w:rsid w:val="003A7D49"/>
    <w:rsid w:val="003B0513"/>
    <w:rsid w:val="003B4EF5"/>
    <w:rsid w:val="003B7902"/>
    <w:rsid w:val="003C339E"/>
    <w:rsid w:val="003C5BFE"/>
    <w:rsid w:val="003C7A71"/>
    <w:rsid w:val="003D0514"/>
    <w:rsid w:val="003D1990"/>
    <w:rsid w:val="003D3241"/>
    <w:rsid w:val="003D53AC"/>
    <w:rsid w:val="003D661B"/>
    <w:rsid w:val="003D6863"/>
    <w:rsid w:val="003E1495"/>
    <w:rsid w:val="003E419C"/>
    <w:rsid w:val="003E6298"/>
    <w:rsid w:val="003E718E"/>
    <w:rsid w:val="003F22B8"/>
    <w:rsid w:val="003F4896"/>
    <w:rsid w:val="00401A0F"/>
    <w:rsid w:val="00403B0B"/>
    <w:rsid w:val="00406D48"/>
    <w:rsid w:val="00407810"/>
    <w:rsid w:val="00407B9D"/>
    <w:rsid w:val="004107D2"/>
    <w:rsid w:val="00412AA8"/>
    <w:rsid w:val="00416440"/>
    <w:rsid w:val="00416CB6"/>
    <w:rsid w:val="0041729E"/>
    <w:rsid w:val="00417E8E"/>
    <w:rsid w:val="004242BB"/>
    <w:rsid w:val="004267AA"/>
    <w:rsid w:val="00430755"/>
    <w:rsid w:val="0043359F"/>
    <w:rsid w:val="004337A4"/>
    <w:rsid w:val="00433F48"/>
    <w:rsid w:val="0043524C"/>
    <w:rsid w:val="004353A0"/>
    <w:rsid w:val="004448F2"/>
    <w:rsid w:val="004452D0"/>
    <w:rsid w:val="00451363"/>
    <w:rsid w:val="004517A9"/>
    <w:rsid w:val="00452141"/>
    <w:rsid w:val="004553A3"/>
    <w:rsid w:val="00462E23"/>
    <w:rsid w:val="004653CF"/>
    <w:rsid w:val="0047242F"/>
    <w:rsid w:val="00473D36"/>
    <w:rsid w:val="004766D8"/>
    <w:rsid w:val="0047672D"/>
    <w:rsid w:val="00483D12"/>
    <w:rsid w:val="004859E4"/>
    <w:rsid w:val="00485B06"/>
    <w:rsid w:val="00486260"/>
    <w:rsid w:val="00493E0D"/>
    <w:rsid w:val="00494493"/>
    <w:rsid w:val="00497208"/>
    <w:rsid w:val="004A092B"/>
    <w:rsid w:val="004A1B97"/>
    <w:rsid w:val="004A44A7"/>
    <w:rsid w:val="004B1EE9"/>
    <w:rsid w:val="004B275C"/>
    <w:rsid w:val="004B4BBE"/>
    <w:rsid w:val="004B4C16"/>
    <w:rsid w:val="004B6373"/>
    <w:rsid w:val="004B7873"/>
    <w:rsid w:val="004C2BE7"/>
    <w:rsid w:val="004C44BB"/>
    <w:rsid w:val="004C565F"/>
    <w:rsid w:val="004D0133"/>
    <w:rsid w:val="004D0C14"/>
    <w:rsid w:val="004D4039"/>
    <w:rsid w:val="004D5009"/>
    <w:rsid w:val="004E293C"/>
    <w:rsid w:val="004E2A24"/>
    <w:rsid w:val="004E31CD"/>
    <w:rsid w:val="004E6BD0"/>
    <w:rsid w:val="004F0BFD"/>
    <w:rsid w:val="004F2EC8"/>
    <w:rsid w:val="004F60B9"/>
    <w:rsid w:val="004F6FAB"/>
    <w:rsid w:val="00503341"/>
    <w:rsid w:val="00505DFA"/>
    <w:rsid w:val="0051228A"/>
    <w:rsid w:val="00512963"/>
    <w:rsid w:val="00517B43"/>
    <w:rsid w:val="005201EE"/>
    <w:rsid w:val="00522E8D"/>
    <w:rsid w:val="00534222"/>
    <w:rsid w:val="00534C8A"/>
    <w:rsid w:val="00537D3B"/>
    <w:rsid w:val="0054628F"/>
    <w:rsid w:val="0055057E"/>
    <w:rsid w:val="005507E6"/>
    <w:rsid w:val="00551475"/>
    <w:rsid w:val="00552B5E"/>
    <w:rsid w:val="00554E89"/>
    <w:rsid w:val="00562F8D"/>
    <w:rsid w:val="005634FE"/>
    <w:rsid w:val="005670C9"/>
    <w:rsid w:val="00572280"/>
    <w:rsid w:val="00572612"/>
    <w:rsid w:val="00572FAA"/>
    <w:rsid w:val="00573329"/>
    <w:rsid w:val="00577594"/>
    <w:rsid w:val="00580E85"/>
    <w:rsid w:val="005850D9"/>
    <w:rsid w:val="00585DFE"/>
    <w:rsid w:val="00594A51"/>
    <w:rsid w:val="00596ABE"/>
    <w:rsid w:val="005A1EE5"/>
    <w:rsid w:val="005A60D7"/>
    <w:rsid w:val="005A6152"/>
    <w:rsid w:val="005A6E6A"/>
    <w:rsid w:val="005B0173"/>
    <w:rsid w:val="005B386C"/>
    <w:rsid w:val="005B3A26"/>
    <w:rsid w:val="005C02C6"/>
    <w:rsid w:val="005C7043"/>
    <w:rsid w:val="005D23B7"/>
    <w:rsid w:val="005D3A1C"/>
    <w:rsid w:val="005D4F51"/>
    <w:rsid w:val="005D5B57"/>
    <w:rsid w:val="005D7C28"/>
    <w:rsid w:val="005E42B4"/>
    <w:rsid w:val="005E54DC"/>
    <w:rsid w:val="005E7031"/>
    <w:rsid w:val="005F11DC"/>
    <w:rsid w:val="005F3C53"/>
    <w:rsid w:val="005F3C91"/>
    <w:rsid w:val="005F3EE7"/>
    <w:rsid w:val="005F489A"/>
    <w:rsid w:val="005F4FC7"/>
    <w:rsid w:val="005F63EE"/>
    <w:rsid w:val="00600BD4"/>
    <w:rsid w:val="00601991"/>
    <w:rsid w:val="00602822"/>
    <w:rsid w:val="00603CB6"/>
    <w:rsid w:val="006041DC"/>
    <w:rsid w:val="006079BA"/>
    <w:rsid w:val="0061284F"/>
    <w:rsid w:val="00620300"/>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326D"/>
    <w:rsid w:val="00666119"/>
    <w:rsid w:val="00666E1A"/>
    <w:rsid w:val="00671045"/>
    <w:rsid w:val="00676B13"/>
    <w:rsid w:val="00680A59"/>
    <w:rsid w:val="00686800"/>
    <w:rsid w:val="00690349"/>
    <w:rsid w:val="006904B2"/>
    <w:rsid w:val="006923B5"/>
    <w:rsid w:val="006926AA"/>
    <w:rsid w:val="00694AE3"/>
    <w:rsid w:val="006A2D1E"/>
    <w:rsid w:val="006A335A"/>
    <w:rsid w:val="006A5E56"/>
    <w:rsid w:val="006A6191"/>
    <w:rsid w:val="006A6575"/>
    <w:rsid w:val="006B39F2"/>
    <w:rsid w:val="006B3A38"/>
    <w:rsid w:val="006B64C9"/>
    <w:rsid w:val="006C1700"/>
    <w:rsid w:val="006C18D9"/>
    <w:rsid w:val="006D5DEF"/>
    <w:rsid w:val="006D7C62"/>
    <w:rsid w:val="006E09B1"/>
    <w:rsid w:val="006E6B2D"/>
    <w:rsid w:val="0070118B"/>
    <w:rsid w:val="00701E73"/>
    <w:rsid w:val="00707D0E"/>
    <w:rsid w:val="007107E1"/>
    <w:rsid w:val="0071445E"/>
    <w:rsid w:val="00715DAE"/>
    <w:rsid w:val="007166E1"/>
    <w:rsid w:val="007177ED"/>
    <w:rsid w:val="007201B3"/>
    <w:rsid w:val="00720319"/>
    <w:rsid w:val="00722389"/>
    <w:rsid w:val="007251A8"/>
    <w:rsid w:val="00730202"/>
    <w:rsid w:val="0073187D"/>
    <w:rsid w:val="00732013"/>
    <w:rsid w:val="007329BA"/>
    <w:rsid w:val="007337B7"/>
    <w:rsid w:val="0073535A"/>
    <w:rsid w:val="00747A1E"/>
    <w:rsid w:val="0075047C"/>
    <w:rsid w:val="007523AC"/>
    <w:rsid w:val="0075242D"/>
    <w:rsid w:val="0076096A"/>
    <w:rsid w:val="007707D2"/>
    <w:rsid w:val="007728A5"/>
    <w:rsid w:val="007758E2"/>
    <w:rsid w:val="007768E1"/>
    <w:rsid w:val="00777303"/>
    <w:rsid w:val="00781360"/>
    <w:rsid w:val="007820C3"/>
    <w:rsid w:val="00785B6D"/>
    <w:rsid w:val="0079096B"/>
    <w:rsid w:val="007932BB"/>
    <w:rsid w:val="00793A00"/>
    <w:rsid w:val="0079619B"/>
    <w:rsid w:val="00797B09"/>
    <w:rsid w:val="007A0E33"/>
    <w:rsid w:val="007A4410"/>
    <w:rsid w:val="007B3B8D"/>
    <w:rsid w:val="007C072B"/>
    <w:rsid w:val="007C51D8"/>
    <w:rsid w:val="007E1BF0"/>
    <w:rsid w:val="007E1C77"/>
    <w:rsid w:val="007E6724"/>
    <w:rsid w:val="007F18A9"/>
    <w:rsid w:val="007F79FE"/>
    <w:rsid w:val="00800528"/>
    <w:rsid w:val="00800C18"/>
    <w:rsid w:val="00801FDF"/>
    <w:rsid w:val="00804549"/>
    <w:rsid w:val="00810509"/>
    <w:rsid w:val="008129B3"/>
    <w:rsid w:val="0081706D"/>
    <w:rsid w:val="00817CB7"/>
    <w:rsid w:val="008219F3"/>
    <w:rsid w:val="00823730"/>
    <w:rsid w:val="0082487B"/>
    <w:rsid w:val="00824B18"/>
    <w:rsid w:val="00827978"/>
    <w:rsid w:val="00830370"/>
    <w:rsid w:val="00834EDF"/>
    <w:rsid w:val="0083696E"/>
    <w:rsid w:val="0084106C"/>
    <w:rsid w:val="00841868"/>
    <w:rsid w:val="0084320B"/>
    <w:rsid w:val="0084418A"/>
    <w:rsid w:val="00846DC7"/>
    <w:rsid w:val="008514A1"/>
    <w:rsid w:val="00851AAC"/>
    <w:rsid w:val="0085433C"/>
    <w:rsid w:val="008549B9"/>
    <w:rsid w:val="00862CB2"/>
    <w:rsid w:val="0086462B"/>
    <w:rsid w:val="0086577A"/>
    <w:rsid w:val="0086724A"/>
    <w:rsid w:val="00873D80"/>
    <w:rsid w:val="00873D9D"/>
    <w:rsid w:val="00877360"/>
    <w:rsid w:val="008813BD"/>
    <w:rsid w:val="0088628F"/>
    <w:rsid w:val="008910DA"/>
    <w:rsid w:val="008952C0"/>
    <w:rsid w:val="008952E8"/>
    <w:rsid w:val="008A0E14"/>
    <w:rsid w:val="008A403F"/>
    <w:rsid w:val="008A41E4"/>
    <w:rsid w:val="008A4845"/>
    <w:rsid w:val="008A5691"/>
    <w:rsid w:val="008A5E6D"/>
    <w:rsid w:val="008A6FE5"/>
    <w:rsid w:val="008B40D7"/>
    <w:rsid w:val="008B415E"/>
    <w:rsid w:val="008B4B5A"/>
    <w:rsid w:val="008B5AC4"/>
    <w:rsid w:val="008B5E69"/>
    <w:rsid w:val="008C20F3"/>
    <w:rsid w:val="008C25A7"/>
    <w:rsid w:val="008C5275"/>
    <w:rsid w:val="008C5E8F"/>
    <w:rsid w:val="008D04FD"/>
    <w:rsid w:val="008D1EE6"/>
    <w:rsid w:val="008D2216"/>
    <w:rsid w:val="008D2B5C"/>
    <w:rsid w:val="008D59E5"/>
    <w:rsid w:val="008E2CD9"/>
    <w:rsid w:val="008E41F9"/>
    <w:rsid w:val="008E6EAA"/>
    <w:rsid w:val="008E7086"/>
    <w:rsid w:val="008E7913"/>
    <w:rsid w:val="008F2A34"/>
    <w:rsid w:val="008F2DFA"/>
    <w:rsid w:val="008F4F47"/>
    <w:rsid w:val="008F7672"/>
    <w:rsid w:val="008F79E7"/>
    <w:rsid w:val="00902105"/>
    <w:rsid w:val="00902E25"/>
    <w:rsid w:val="00903DA7"/>
    <w:rsid w:val="009059D6"/>
    <w:rsid w:val="00905EFD"/>
    <w:rsid w:val="009062DC"/>
    <w:rsid w:val="0090666E"/>
    <w:rsid w:val="00910877"/>
    <w:rsid w:val="0091139F"/>
    <w:rsid w:val="00912598"/>
    <w:rsid w:val="009136BD"/>
    <w:rsid w:val="00913769"/>
    <w:rsid w:val="00917307"/>
    <w:rsid w:val="00920916"/>
    <w:rsid w:val="00920A8A"/>
    <w:rsid w:val="009248E0"/>
    <w:rsid w:val="009305D6"/>
    <w:rsid w:val="009312EF"/>
    <w:rsid w:val="00934614"/>
    <w:rsid w:val="00944034"/>
    <w:rsid w:val="00946ECD"/>
    <w:rsid w:val="00950D80"/>
    <w:rsid w:val="00955A87"/>
    <w:rsid w:val="00955B78"/>
    <w:rsid w:val="00961672"/>
    <w:rsid w:val="0097393F"/>
    <w:rsid w:val="00974EFD"/>
    <w:rsid w:val="00976A3A"/>
    <w:rsid w:val="00983761"/>
    <w:rsid w:val="00983CC9"/>
    <w:rsid w:val="009864BA"/>
    <w:rsid w:val="00991876"/>
    <w:rsid w:val="00991931"/>
    <w:rsid w:val="009A0512"/>
    <w:rsid w:val="009A201C"/>
    <w:rsid w:val="009A2595"/>
    <w:rsid w:val="009B0E5A"/>
    <w:rsid w:val="009B2A57"/>
    <w:rsid w:val="009B43B1"/>
    <w:rsid w:val="009C08BF"/>
    <w:rsid w:val="009D033B"/>
    <w:rsid w:val="009D6A88"/>
    <w:rsid w:val="009E148C"/>
    <w:rsid w:val="009E1FB7"/>
    <w:rsid w:val="009E4343"/>
    <w:rsid w:val="00A00935"/>
    <w:rsid w:val="00A06B7A"/>
    <w:rsid w:val="00A07166"/>
    <w:rsid w:val="00A1231C"/>
    <w:rsid w:val="00A12A50"/>
    <w:rsid w:val="00A13763"/>
    <w:rsid w:val="00A13FF2"/>
    <w:rsid w:val="00A24F45"/>
    <w:rsid w:val="00A33AC7"/>
    <w:rsid w:val="00A35699"/>
    <w:rsid w:val="00A37F4C"/>
    <w:rsid w:val="00A445E1"/>
    <w:rsid w:val="00A4544C"/>
    <w:rsid w:val="00A45C93"/>
    <w:rsid w:val="00A4700E"/>
    <w:rsid w:val="00A514AC"/>
    <w:rsid w:val="00A52123"/>
    <w:rsid w:val="00A53561"/>
    <w:rsid w:val="00A55783"/>
    <w:rsid w:val="00A55838"/>
    <w:rsid w:val="00A56024"/>
    <w:rsid w:val="00A60346"/>
    <w:rsid w:val="00A61826"/>
    <w:rsid w:val="00A714F2"/>
    <w:rsid w:val="00A71C94"/>
    <w:rsid w:val="00A7311E"/>
    <w:rsid w:val="00A753D4"/>
    <w:rsid w:val="00A82266"/>
    <w:rsid w:val="00A8427E"/>
    <w:rsid w:val="00A85BCC"/>
    <w:rsid w:val="00A91500"/>
    <w:rsid w:val="00A92D12"/>
    <w:rsid w:val="00A951D4"/>
    <w:rsid w:val="00A96793"/>
    <w:rsid w:val="00AA08C7"/>
    <w:rsid w:val="00AA1A61"/>
    <w:rsid w:val="00AA3639"/>
    <w:rsid w:val="00AA676C"/>
    <w:rsid w:val="00AB1410"/>
    <w:rsid w:val="00AB1B1A"/>
    <w:rsid w:val="00AB1EBA"/>
    <w:rsid w:val="00AC0528"/>
    <w:rsid w:val="00AC4D4A"/>
    <w:rsid w:val="00AC5C2B"/>
    <w:rsid w:val="00AC678A"/>
    <w:rsid w:val="00AD5804"/>
    <w:rsid w:val="00AD7E2C"/>
    <w:rsid w:val="00AE02BD"/>
    <w:rsid w:val="00AE32D6"/>
    <w:rsid w:val="00AE7EBF"/>
    <w:rsid w:val="00AF06E1"/>
    <w:rsid w:val="00AF2AA7"/>
    <w:rsid w:val="00AF3310"/>
    <w:rsid w:val="00AF69A3"/>
    <w:rsid w:val="00AF705D"/>
    <w:rsid w:val="00B05485"/>
    <w:rsid w:val="00B058BF"/>
    <w:rsid w:val="00B05F14"/>
    <w:rsid w:val="00B10694"/>
    <w:rsid w:val="00B13078"/>
    <w:rsid w:val="00B1612C"/>
    <w:rsid w:val="00B16818"/>
    <w:rsid w:val="00B21CAE"/>
    <w:rsid w:val="00B23E70"/>
    <w:rsid w:val="00B2511C"/>
    <w:rsid w:val="00B26353"/>
    <w:rsid w:val="00B324E8"/>
    <w:rsid w:val="00B32AA9"/>
    <w:rsid w:val="00B35F26"/>
    <w:rsid w:val="00B36C19"/>
    <w:rsid w:val="00B44380"/>
    <w:rsid w:val="00B46090"/>
    <w:rsid w:val="00B46A29"/>
    <w:rsid w:val="00B4709A"/>
    <w:rsid w:val="00B47BB5"/>
    <w:rsid w:val="00B51E01"/>
    <w:rsid w:val="00B51E5C"/>
    <w:rsid w:val="00B579AE"/>
    <w:rsid w:val="00B57FA5"/>
    <w:rsid w:val="00B631BE"/>
    <w:rsid w:val="00B63C07"/>
    <w:rsid w:val="00B643BA"/>
    <w:rsid w:val="00B67390"/>
    <w:rsid w:val="00B67814"/>
    <w:rsid w:val="00B71E0B"/>
    <w:rsid w:val="00B72829"/>
    <w:rsid w:val="00B761D6"/>
    <w:rsid w:val="00B76856"/>
    <w:rsid w:val="00B76D8D"/>
    <w:rsid w:val="00B80DB5"/>
    <w:rsid w:val="00B81C4D"/>
    <w:rsid w:val="00B83C56"/>
    <w:rsid w:val="00B875C9"/>
    <w:rsid w:val="00B92406"/>
    <w:rsid w:val="00BA07AD"/>
    <w:rsid w:val="00BA1095"/>
    <w:rsid w:val="00BA50D0"/>
    <w:rsid w:val="00BA5873"/>
    <w:rsid w:val="00BA69B4"/>
    <w:rsid w:val="00BA6F61"/>
    <w:rsid w:val="00BA75CF"/>
    <w:rsid w:val="00BB0543"/>
    <w:rsid w:val="00BB1796"/>
    <w:rsid w:val="00BB2701"/>
    <w:rsid w:val="00BC6475"/>
    <w:rsid w:val="00BC64A6"/>
    <w:rsid w:val="00BD0F0C"/>
    <w:rsid w:val="00BD173F"/>
    <w:rsid w:val="00BD5930"/>
    <w:rsid w:val="00BD6435"/>
    <w:rsid w:val="00BD74B9"/>
    <w:rsid w:val="00BE35A8"/>
    <w:rsid w:val="00BF0E89"/>
    <w:rsid w:val="00BF5EAA"/>
    <w:rsid w:val="00C01ACD"/>
    <w:rsid w:val="00C02202"/>
    <w:rsid w:val="00C066AC"/>
    <w:rsid w:val="00C07FCD"/>
    <w:rsid w:val="00C1317F"/>
    <w:rsid w:val="00C13BAC"/>
    <w:rsid w:val="00C14944"/>
    <w:rsid w:val="00C20AC2"/>
    <w:rsid w:val="00C27004"/>
    <w:rsid w:val="00C3032E"/>
    <w:rsid w:val="00C32357"/>
    <w:rsid w:val="00C32BF8"/>
    <w:rsid w:val="00C34FCA"/>
    <w:rsid w:val="00C35391"/>
    <w:rsid w:val="00C36171"/>
    <w:rsid w:val="00C36CEE"/>
    <w:rsid w:val="00C42DB3"/>
    <w:rsid w:val="00C42F82"/>
    <w:rsid w:val="00C44D0C"/>
    <w:rsid w:val="00C61264"/>
    <w:rsid w:val="00C624D7"/>
    <w:rsid w:val="00C638BF"/>
    <w:rsid w:val="00C70A4E"/>
    <w:rsid w:val="00C7440F"/>
    <w:rsid w:val="00C77E19"/>
    <w:rsid w:val="00C80B5F"/>
    <w:rsid w:val="00C813F0"/>
    <w:rsid w:val="00C8405F"/>
    <w:rsid w:val="00C8436D"/>
    <w:rsid w:val="00C86565"/>
    <w:rsid w:val="00C867A6"/>
    <w:rsid w:val="00C90F37"/>
    <w:rsid w:val="00C91130"/>
    <w:rsid w:val="00C91266"/>
    <w:rsid w:val="00C929D8"/>
    <w:rsid w:val="00C92B40"/>
    <w:rsid w:val="00C931AF"/>
    <w:rsid w:val="00C9499D"/>
    <w:rsid w:val="00CA4C2F"/>
    <w:rsid w:val="00CA6A20"/>
    <w:rsid w:val="00CB06F1"/>
    <w:rsid w:val="00CB447D"/>
    <w:rsid w:val="00CC2073"/>
    <w:rsid w:val="00CC4B74"/>
    <w:rsid w:val="00CC695B"/>
    <w:rsid w:val="00CD020A"/>
    <w:rsid w:val="00CD4264"/>
    <w:rsid w:val="00CD6007"/>
    <w:rsid w:val="00CE44C6"/>
    <w:rsid w:val="00CE5417"/>
    <w:rsid w:val="00CE5AA3"/>
    <w:rsid w:val="00CF176C"/>
    <w:rsid w:val="00CF2911"/>
    <w:rsid w:val="00CF3C21"/>
    <w:rsid w:val="00CF4554"/>
    <w:rsid w:val="00CF7D21"/>
    <w:rsid w:val="00D022E4"/>
    <w:rsid w:val="00D0441F"/>
    <w:rsid w:val="00D04FEB"/>
    <w:rsid w:val="00D059EB"/>
    <w:rsid w:val="00D12C88"/>
    <w:rsid w:val="00D1305C"/>
    <w:rsid w:val="00D167DC"/>
    <w:rsid w:val="00D27F5A"/>
    <w:rsid w:val="00D316E3"/>
    <w:rsid w:val="00D33BEF"/>
    <w:rsid w:val="00D40ABA"/>
    <w:rsid w:val="00D42B29"/>
    <w:rsid w:val="00D46084"/>
    <w:rsid w:val="00D46715"/>
    <w:rsid w:val="00D46E4C"/>
    <w:rsid w:val="00D50407"/>
    <w:rsid w:val="00D52FA6"/>
    <w:rsid w:val="00D54BDC"/>
    <w:rsid w:val="00D57478"/>
    <w:rsid w:val="00D60653"/>
    <w:rsid w:val="00D64FD8"/>
    <w:rsid w:val="00D70CB5"/>
    <w:rsid w:val="00D7107D"/>
    <w:rsid w:val="00D72B5B"/>
    <w:rsid w:val="00D7469C"/>
    <w:rsid w:val="00D74EC5"/>
    <w:rsid w:val="00D76D1E"/>
    <w:rsid w:val="00D77250"/>
    <w:rsid w:val="00D8327F"/>
    <w:rsid w:val="00D83C0F"/>
    <w:rsid w:val="00D847D7"/>
    <w:rsid w:val="00D863FF"/>
    <w:rsid w:val="00D86E23"/>
    <w:rsid w:val="00D87481"/>
    <w:rsid w:val="00D90BD7"/>
    <w:rsid w:val="00DA0320"/>
    <w:rsid w:val="00DA2FF8"/>
    <w:rsid w:val="00DA5C3C"/>
    <w:rsid w:val="00DA6048"/>
    <w:rsid w:val="00DA715E"/>
    <w:rsid w:val="00DB4D7C"/>
    <w:rsid w:val="00DB5E3A"/>
    <w:rsid w:val="00DB63D5"/>
    <w:rsid w:val="00DB7073"/>
    <w:rsid w:val="00DC6E04"/>
    <w:rsid w:val="00DD0588"/>
    <w:rsid w:val="00DD1FF3"/>
    <w:rsid w:val="00DD4FD7"/>
    <w:rsid w:val="00DD62DD"/>
    <w:rsid w:val="00DD7753"/>
    <w:rsid w:val="00DE072C"/>
    <w:rsid w:val="00DE0776"/>
    <w:rsid w:val="00DE6515"/>
    <w:rsid w:val="00DF1D95"/>
    <w:rsid w:val="00DF3D8E"/>
    <w:rsid w:val="00DF4EB0"/>
    <w:rsid w:val="00E0008B"/>
    <w:rsid w:val="00E00754"/>
    <w:rsid w:val="00E00BAC"/>
    <w:rsid w:val="00E0249E"/>
    <w:rsid w:val="00E02F40"/>
    <w:rsid w:val="00E106F0"/>
    <w:rsid w:val="00E1404F"/>
    <w:rsid w:val="00E1464D"/>
    <w:rsid w:val="00E148F6"/>
    <w:rsid w:val="00E227B6"/>
    <w:rsid w:val="00E3799F"/>
    <w:rsid w:val="00E43947"/>
    <w:rsid w:val="00E447F4"/>
    <w:rsid w:val="00E633EC"/>
    <w:rsid w:val="00E63CBE"/>
    <w:rsid w:val="00E659BA"/>
    <w:rsid w:val="00E67A76"/>
    <w:rsid w:val="00E708CE"/>
    <w:rsid w:val="00E73F1B"/>
    <w:rsid w:val="00E7485B"/>
    <w:rsid w:val="00E81CED"/>
    <w:rsid w:val="00E86AA7"/>
    <w:rsid w:val="00E86B9D"/>
    <w:rsid w:val="00E87E59"/>
    <w:rsid w:val="00E9481D"/>
    <w:rsid w:val="00EA7091"/>
    <w:rsid w:val="00EB1403"/>
    <w:rsid w:val="00EB2C5A"/>
    <w:rsid w:val="00EC01E5"/>
    <w:rsid w:val="00EC2B98"/>
    <w:rsid w:val="00EC71E7"/>
    <w:rsid w:val="00EC79CD"/>
    <w:rsid w:val="00ED1ED4"/>
    <w:rsid w:val="00ED26BB"/>
    <w:rsid w:val="00ED653D"/>
    <w:rsid w:val="00EE1289"/>
    <w:rsid w:val="00EF6F61"/>
    <w:rsid w:val="00F00949"/>
    <w:rsid w:val="00F0117A"/>
    <w:rsid w:val="00F01997"/>
    <w:rsid w:val="00F01BFA"/>
    <w:rsid w:val="00F074A8"/>
    <w:rsid w:val="00F10507"/>
    <w:rsid w:val="00F11B63"/>
    <w:rsid w:val="00F20D6A"/>
    <w:rsid w:val="00F25D78"/>
    <w:rsid w:val="00F2785D"/>
    <w:rsid w:val="00F31FEF"/>
    <w:rsid w:val="00F32073"/>
    <w:rsid w:val="00F33FB1"/>
    <w:rsid w:val="00F3581E"/>
    <w:rsid w:val="00F36EBC"/>
    <w:rsid w:val="00F36FCC"/>
    <w:rsid w:val="00F407C8"/>
    <w:rsid w:val="00F44FF9"/>
    <w:rsid w:val="00F46CB1"/>
    <w:rsid w:val="00F47A6F"/>
    <w:rsid w:val="00F560C1"/>
    <w:rsid w:val="00F56462"/>
    <w:rsid w:val="00F56EC2"/>
    <w:rsid w:val="00F579EA"/>
    <w:rsid w:val="00F6082A"/>
    <w:rsid w:val="00F6296D"/>
    <w:rsid w:val="00F63D43"/>
    <w:rsid w:val="00F63E44"/>
    <w:rsid w:val="00F65085"/>
    <w:rsid w:val="00F66D74"/>
    <w:rsid w:val="00F76EF4"/>
    <w:rsid w:val="00F80A45"/>
    <w:rsid w:val="00F812BB"/>
    <w:rsid w:val="00F82FD6"/>
    <w:rsid w:val="00F83560"/>
    <w:rsid w:val="00F8415A"/>
    <w:rsid w:val="00F853D3"/>
    <w:rsid w:val="00F856CE"/>
    <w:rsid w:val="00F87174"/>
    <w:rsid w:val="00F915E6"/>
    <w:rsid w:val="00F97E4E"/>
    <w:rsid w:val="00FA5776"/>
    <w:rsid w:val="00FB2E8B"/>
    <w:rsid w:val="00FB6F92"/>
    <w:rsid w:val="00FC0813"/>
    <w:rsid w:val="00FC612E"/>
    <w:rsid w:val="00FE2D5D"/>
    <w:rsid w:val="00FE303E"/>
    <w:rsid w:val="00FE4207"/>
    <w:rsid w:val="00FE6D06"/>
    <w:rsid w:val="00FE7235"/>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86F463B"/>
  <w15:chartTrackingRefBased/>
  <w15:docId w15:val="{74023711-BAE9-374E-8830-AE48839F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B83C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83C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83C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C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3C56"/>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B83C5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83C5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83C56"/>
    <w:rPr>
      <w:b/>
      <w:bCs/>
    </w:rPr>
  </w:style>
  <w:style w:type="paragraph" w:styleId="ListParagraph">
    <w:name w:val="List Paragraph"/>
    <w:basedOn w:val="Normal"/>
    <w:uiPriority w:val="34"/>
    <w:qFormat/>
    <w:rsid w:val="001E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2594">
      <w:bodyDiv w:val="1"/>
      <w:marLeft w:val="0"/>
      <w:marRight w:val="0"/>
      <w:marTop w:val="0"/>
      <w:marBottom w:val="0"/>
      <w:divBdr>
        <w:top w:val="none" w:sz="0" w:space="0" w:color="auto"/>
        <w:left w:val="none" w:sz="0" w:space="0" w:color="auto"/>
        <w:bottom w:val="none" w:sz="0" w:space="0" w:color="auto"/>
        <w:right w:val="none" w:sz="0" w:space="0" w:color="auto"/>
      </w:divBdr>
      <w:divsChild>
        <w:div w:id="532696814">
          <w:marLeft w:val="0"/>
          <w:marRight w:val="0"/>
          <w:marTop w:val="0"/>
          <w:marBottom w:val="0"/>
          <w:divBdr>
            <w:top w:val="none" w:sz="0" w:space="0" w:color="auto"/>
            <w:left w:val="none" w:sz="0" w:space="0" w:color="auto"/>
            <w:bottom w:val="none" w:sz="0" w:space="0" w:color="auto"/>
            <w:right w:val="none" w:sz="0" w:space="0" w:color="auto"/>
          </w:divBdr>
          <w:divsChild>
            <w:div w:id="2029985641">
              <w:marLeft w:val="0"/>
              <w:marRight w:val="0"/>
              <w:marTop w:val="0"/>
              <w:marBottom w:val="0"/>
              <w:divBdr>
                <w:top w:val="none" w:sz="0" w:space="0" w:color="auto"/>
                <w:left w:val="none" w:sz="0" w:space="0" w:color="auto"/>
                <w:bottom w:val="none" w:sz="0" w:space="0" w:color="auto"/>
                <w:right w:val="none" w:sz="0" w:space="0" w:color="auto"/>
              </w:divBdr>
              <w:divsChild>
                <w:div w:id="1817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7010">
      <w:bodyDiv w:val="1"/>
      <w:marLeft w:val="0"/>
      <w:marRight w:val="0"/>
      <w:marTop w:val="0"/>
      <w:marBottom w:val="0"/>
      <w:divBdr>
        <w:top w:val="none" w:sz="0" w:space="0" w:color="auto"/>
        <w:left w:val="none" w:sz="0" w:space="0" w:color="auto"/>
        <w:bottom w:val="none" w:sz="0" w:space="0" w:color="auto"/>
        <w:right w:val="none" w:sz="0" w:space="0" w:color="auto"/>
      </w:divBdr>
    </w:div>
    <w:div w:id="1752500970">
      <w:bodyDiv w:val="1"/>
      <w:marLeft w:val="0"/>
      <w:marRight w:val="0"/>
      <w:marTop w:val="0"/>
      <w:marBottom w:val="0"/>
      <w:divBdr>
        <w:top w:val="none" w:sz="0" w:space="0" w:color="auto"/>
        <w:left w:val="none" w:sz="0" w:space="0" w:color="auto"/>
        <w:bottom w:val="none" w:sz="0" w:space="0" w:color="auto"/>
        <w:right w:val="none" w:sz="0" w:space="0" w:color="auto"/>
      </w:divBdr>
    </w:div>
    <w:div w:id="19059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2</cp:revision>
  <dcterms:created xsi:type="dcterms:W3CDTF">2026-01-14T01:24:00Z</dcterms:created>
  <dcterms:modified xsi:type="dcterms:W3CDTF">2026-01-14T01:33:00Z</dcterms:modified>
</cp:coreProperties>
</file>