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D274" w14:textId="77777777" w:rsidR="00B074CC" w:rsidRDefault="00B074CC" w:rsidP="00B074CC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Những</w:t>
      </w:r>
      <w:proofErr w:type="spellEnd"/>
      <w:r w:rsidRPr="00B074C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hiệu</w:t>
      </w:r>
      <w:proofErr w:type="spellEnd"/>
      <w:r w:rsidRPr="00B074C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quả</w:t>
      </w:r>
      <w:proofErr w:type="spellEnd"/>
      <w:r w:rsidRPr="00B074C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mang</w:t>
      </w:r>
      <w:proofErr w:type="spellEnd"/>
      <w:r w:rsidRPr="00B074C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lại</w:t>
      </w:r>
      <w:proofErr w:type="spellEnd"/>
      <w:r w:rsidRPr="00B074C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của</w:t>
      </w:r>
      <w:proofErr w:type="spellEnd"/>
      <w:r w:rsidRPr="00B074C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việc</w:t>
      </w:r>
      <w:proofErr w:type="spellEnd"/>
      <w:r w:rsidRPr="00B074C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sử</w:t>
      </w:r>
      <w:proofErr w:type="spellEnd"/>
      <w:r w:rsidRPr="00B074C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dụng</w:t>
      </w:r>
      <w:proofErr w:type="spellEnd"/>
      <w:r w:rsidRPr="00B074CC">
        <w:rPr>
          <w:rFonts w:ascii="Times New Roman" w:hAnsi="Times New Roman" w:cs="Times New Roman"/>
          <w:b/>
          <w:bCs/>
          <w:sz w:val="30"/>
          <w:szCs w:val="30"/>
        </w:rPr>
        <w:t xml:space="preserve"> Thông </w:t>
      </w: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tư</w:t>
      </w:r>
      <w:proofErr w:type="spellEnd"/>
      <w:r w:rsidRPr="00B074CC">
        <w:rPr>
          <w:rFonts w:ascii="Times New Roman" w:hAnsi="Times New Roman" w:cs="Times New Roman"/>
          <w:b/>
          <w:bCs/>
          <w:sz w:val="30"/>
          <w:szCs w:val="30"/>
        </w:rPr>
        <w:t xml:space="preserve"> 99/2025/TT-BTC </w:t>
      </w: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đối</w:t>
      </w:r>
      <w:proofErr w:type="spellEnd"/>
      <w:r w:rsidRPr="00B074C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với</w:t>
      </w:r>
      <w:proofErr w:type="spellEnd"/>
      <w:r w:rsidRPr="00B074C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doanh</w:t>
      </w:r>
      <w:proofErr w:type="spellEnd"/>
      <w:r w:rsidRPr="00B074C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30"/>
          <w:szCs w:val="30"/>
        </w:rPr>
        <w:t>nghiệp</w:t>
      </w:r>
      <w:proofErr w:type="spellEnd"/>
    </w:p>
    <w:p w14:paraId="670A23CE" w14:textId="54852C17" w:rsidR="00B074CC" w:rsidRDefault="00B074CC" w:rsidP="00B074CC">
      <w:pPr>
        <w:jc w:val="right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Ngô Thị Kiều Trang</w:t>
      </w:r>
    </w:p>
    <w:p w14:paraId="607293E2" w14:textId="77777777" w:rsidR="00B074CC" w:rsidRPr="00B074CC" w:rsidRDefault="00B074CC" w:rsidP="00B074CC">
      <w:pPr>
        <w:jc w:val="right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</w:p>
    <w:p w14:paraId="23C98814" w14:textId="77777777" w:rsidR="00B074CC" w:rsidRPr="00B074CC" w:rsidRDefault="00B074CC" w:rsidP="00B074C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thiệu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bối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cảnh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</w:p>
    <w:p w14:paraId="05763C3D" w14:textId="77777777" w:rsidR="00B074CC" w:rsidRPr="00B074CC" w:rsidRDefault="00B074CC" w:rsidP="00B074C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r w:rsidRPr="00B074CC">
        <w:rPr>
          <w:rFonts w:ascii="Times New Roman" w:hAnsi="Times New Roman" w:cs="Times New Roman"/>
          <w:b/>
          <w:bCs/>
          <w:sz w:val="26"/>
          <w:szCs w:val="26"/>
        </w:rPr>
        <w:t>27/10/2025</w:t>
      </w:r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Tài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Thông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99/2025/TT-BTC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thay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Thông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200/2014/TT-BTC</w:t>
      </w:r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01/01/2026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ngoặt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Việt Nam,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3F1A2E3" w14:textId="77777777" w:rsidR="00B074CC" w:rsidRPr="00B074CC" w:rsidRDefault="00B074CC" w:rsidP="00B074CC">
      <w:p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sz w:val="26"/>
          <w:szCs w:val="26"/>
        </w:rPr>
        <w:t xml:space="preserve">Thông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chứng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Thông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200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B3A3BF2" w14:textId="77777777" w:rsidR="00B074CC" w:rsidRPr="00B074CC" w:rsidRDefault="00B074CC" w:rsidP="00B074C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mới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Thông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99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</w:p>
    <w:p w14:paraId="341AA3C2" w14:textId="77777777" w:rsidR="00B074CC" w:rsidRPr="00B074CC" w:rsidRDefault="00B074CC" w:rsidP="00B074C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2.1. Gia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tăng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</w:p>
    <w:p w14:paraId="7D09123B" w14:textId="77777777" w:rsidR="00B074CC" w:rsidRPr="00B074CC" w:rsidRDefault="00B074CC" w:rsidP="00B074C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Thông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trao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lớn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:</w:t>
      </w:r>
    </w:p>
    <w:p w14:paraId="600D4995" w14:textId="77777777" w:rsidR="00B074CC" w:rsidRPr="00B074CC" w:rsidRDefault="00B074CC" w:rsidP="00B074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sz w:val="26"/>
          <w:szCs w:val="26"/>
        </w:rPr>
        <w:t xml:space="preserve">Doanh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chứng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</w:p>
    <w:p w14:paraId="78CCC58C" w14:textId="77777777" w:rsidR="00B074CC" w:rsidRPr="00B074CC" w:rsidRDefault="00B074CC" w:rsidP="00B074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thoát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cứng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</w:p>
    <w:p w14:paraId="62C385B1" w14:textId="77777777" w:rsidR="00B074CC" w:rsidRPr="00B074CC" w:rsidRDefault="00B074CC" w:rsidP="00B074C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Tài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(Level 2/3) phục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1ECBEA2" w14:textId="77777777" w:rsidR="00B074CC" w:rsidRPr="00B074CC" w:rsidRDefault="00B074CC" w:rsidP="00B074CC">
      <w:pPr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Lợi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ích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B074CC">
        <w:rPr>
          <w:rFonts w:ascii="Times New Roman" w:hAnsi="Times New Roman" w:cs="Times New Roman"/>
          <w:sz w:val="26"/>
          <w:szCs w:val="26"/>
        </w:rPr>
        <w:br/>
      </w:r>
      <w:r w:rsidRPr="00B074CC">
        <w:rPr>
          <w:rFonts w:ascii="Segoe UI Symbol" w:hAnsi="Segoe UI Symbol" w:cs="Segoe UI Symbol"/>
          <w:sz w:val="26"/>
          <w:szCs w:val="26"/>
        </w:rPr>
        <w:t>➤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lastRenderedPageBreak/>
        <w:t>quản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  <w:r w:rsidRPr="00B074CC">
        <w:rPr>
          <w:rFonts w:ascii="Times New Roman" w:hAnsi="Times New Roman" w:cs="Times New Roman"/>
          <w:sz w:val="26"/>
          <w:szCs w:val="26"/>
        </w:rPr>
        <w:br/>
      </w:r>
      <w:r w:rsidRPr="00B074CC">
        <w:rPr>
          <w:rFonts w:ascii="Segoe UI Symbol" w:hAnsi="Segoe UI Symbol" w:cs="Segoe UI Symbol"/>
          <w:sz w:val="26"/>
          <w:szCs w:val="26"/>
        </w:rPr>
        <w:t>➤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cứng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</w:p>
    <w:p w14:paraId="7ED1AA75" w14:textId="77777777" w:rsidR="00B074CC" w:rsidRPr="00B074CC" w:rsidRDefault="00B074CC" w:rsidP="00B074C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2.2.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Tăng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cường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minh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bạch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tin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cậy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</w:p>
    <w:p w14:paraId="4C854CCE" w14:textId="77777777" w:rsidR="00B074CC" w:rsidRPr="00B074CC" w:rsidRDefault="00B074CC" w:rsidP="00B074CC">
      <w:p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sz w:val="26"/>
          <w:szCs w:val="26"/>
        </w:rPr>
        <w:t xml:space="preserve">Thông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:</w:t>
      </w:r>
    </w:p>
    <w:p w14:paraId="30E04FE1" w14:textId="77777777" w:rsidR="00B074CC" w:rsidRPr="00B074CC" w:rsidRDefault="00B074CC" w:rsidP="00B074C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</w:p>
    <w:p w14:paraId="28654ACC" w14:textId="77777777" w:rsidR="00B074CC" w:rsidRPr="00B074CC" w:rsidRDefault="00B074CC" w:rsidP="00B074C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thuyết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dung.</w:t>
      </w:r>
    </w:p>
    <w:p w14:paraId="50F348B4" w14:textId="77777777" w:rsidR="00B074CC" w:rsidRPr="00B074CC" w:rsidRDefault="00B074CC" w:rsidP="00B074C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887CCF2" w14:textId="77777777" w:rsidR="00B074CC" w:rsidRDefault="00B074CC" w:rsidP="00B074CC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Lợi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ích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038FE01" w14:textId="45BAA6C7" w:rsidR="00B074CC" w:rsidRPr="00B074CC" w:rsidRDefault="00B074CC" w:rsidP="00B074CC">
      <w:pPr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Segoe UI Symbol" w:hAnsi="Segoe UI Symbol" w:cs="Segoe UI Symbol"/>
          <w:sz w:val="26"/>
          <w:szCs w:val="26"/>
        </w:rPr>
        <w:t>➤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Báo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đáng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tin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cậy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  <w:r w:rsidRPr="00B074CC">
        <w:rPr>
          <w:rFonts w:ascii="Times New Roman" w:hAnsi="Times New Roman" w:cs="Times New Roman"/>
          <w:sz w:val="26"/>
          <w:szCs w:val="26"/>
        </w:rPr>
        <w:br/>
      </w:r>
      <w:r w:rsidRPr="00B074CC">
        <w:rPr>
          <w:rFonts w:ascii="Segoe UI Symbol" w:hAnsi="Segoe UI Symbol" w:cs="Segoe UI Symbol"/>
          <w:sz w:val="26"/>
          <w:szCs w:val="26"/>
        </w:rPr>
        <w:t>➤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Tăng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khả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so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sánh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  <w:r w:rsidRPr="00B074CC">
        <w:rPr>
          <w:rFonts w:ascii="Times New Roman" w:hAnsi="Times New Roman" w:cs="Times New Roman"/>
          <w:sz w:val="26"/>
          <w:szCs w:val="26"/>
        </w:rPr>
        <w:br/>
      </w:r>
      <w:r w:rsidRPr="00B074CC">
        <w:rPr>
          <w:rFonts w:ascii="Segoe UI Symbol" w:hAnsi="Segoe UI Symbol" w:cs="Segoe UI Symbol"/>
          <w:sz w:val="26"/>
          <w:szCs w:val="26"/>
        </w:rPr>
        <w:t>➤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Thu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hút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</w:p>
    <w:p w14:paraId="3C3EAB27" w14:textId="77777777" w:rsidR="00B074CC" w:rsidRPr="00B074CC" w:rsidRDefault="00B074CC" w:rsidP="00B074C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2.3. Linh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nhóm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trực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thuộc</w:t>
      </w:r>
      <w:proofErr w:type="spellEnd"/>
    </w:p>
    <w:p w14:paraId="4B38D341" w14:textId="77777777" w:rsidR="00B074CC" w:rsidRPr="00B074CC" w:rsidRDefault="00B074CC" w:rsidP="00B074CC">
      <w:p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gộp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:</w:t>
      </w:r>
    </w:p>
    <w:p w14:paraId="5E0D4784" w14:textId="77777777" w:rsidR="00B074CC" w:rsidRPr="00B074CC" w:rsidRDefault="00B074CC" w:rsidP="00B074C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sz w:val="26"/>
          <w:szCs w:val="26"/>
        </w:rPr>
        <w:t xml:space="preserve">Doanh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</w:p>
    <w:p w14:paraId="3E7D8A2A" w14:textId="77777777" w:rsidR="00B074CC" w:rsidRPr="00B074CC" w:rsidRDefault="00B074CC" w:rsidP="00B074C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/chi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12A46B8" w14:textId="77777777" w:rsidR="00B074CC" w:rsidRPr="00B074CC" w:rsidRDefault="00B074CC" w:rsidP="00B074CC">
      <w:pPr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Hiệu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B074CC">
        <w:rPr>
          <w:rFonts w:ascii="Times New Roman" w:hAnsi="Times New Roman" w:cs="Times New Roman"/>
          <w:sz w:val="26"/>
          <w:szCs w:val="26"/>
        </w:rPr>
        <w:br/>
      </w:r>
      <w:r w:rsidRPr="00B074CC">
        <w:rPr>
          <w:rFonts w:ascii="Segoe UI Symbol" w:hAnsi="Segoe UI Symbol" w:cs="Segoe UI Symbol"/>
          <w:sz w:val="26"/>
          <w:szCs w:val="26"/>
        </w:rPr>
        <w:t>➤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  <w:r w:rsidRPr="00B074CC">
        <w:rPr>
          <w:rFonts w:ascii="Times New Roman" w:hAnsi="Times New Roman" w:cs="Times New Roman"/>
          <w:sz w:val="26"/>
          <w:szCs w:val="26"/>
        </w:rPr>
        <w:br/>
      </w:r>
      <w:r w:rsidRPr="00B074CC">
        <w:rPr>
          <w:rFonts w:ascii="Segoe UI Symbol" w:hAnsi="Segoe UI Symbol" w:cs="Segoe UI Symbol"/>
          <w:sz w:val="26"/>
          <w:szCs w:val="26"/>
        </w:rPr>
        <w:lastRenderedPageBreak/>
        <w:t>➤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</w:p>
    <w:p w14:paraId="47CAC320" w14:textId="77777777" w:rsidR="00B074CC" w:rsidRPr="00B074CC" w:rsidRDefault="00B074CC" w:rsidP="00B074C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2.4.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Tiếp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cận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thông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lệ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quốc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(IFRS)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</w:p>
    <w:p w14:paraId="48AC7605" w14:textId="77777777" w:rsidR="00B074CC" w:rsidRPr="00B074CC" w:rsidRDefault="00B074CC" w:rsidP="00B074C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Thông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tiệm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(IFRS),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bớt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túy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B387E07" w14:textId="77777777" w:rsidR="00B074CC" w:rsidRPr="00B074CC" w:rsidRDefault="00B074CC" w:rsidP="00B074C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Thông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ủng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  <w:r w:rsidRPr="00B074CC">
        <w:rPr>
          <w:rFonts w:ascii="Times New Roman" w:hAnsi="Times New Roman" w:cs="Times New Roman"/>
          <w:sz w:val="26"/>
          <w:szCs w:val="26"/>
        </w:rPr>
        <w:br/>
      </w: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Lợi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ích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thiết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B074CC">
        <w:rPr>
          <w:rFonts w:ascii="Times New Roman" w:hAnsi="Times New Roman" w:cs="Times New Roman"/>
          <w:sz w:val="26"/>
          <w:szCs w:val="26"/>
        </w:rPr>
        <w:br/>
      </w:r>
      <w:r w:rsidRPr="00B074CC">
        <w:rPr>
          <w:rFonts w:ascii="Segoe UI Symbol" w:hAnsi="Segoe UI Symbol" w:cs="Segoe UI Symbol"/>
          <w:sz w:val="26"/>
          <w:szCs w:val="26"/>
        </w:rPr>
        <w:t>➤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Hỗ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trợ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hội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nhập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rộng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B074CC">
        <w:rPr>
          <w:rFonts w:ascii="Times New Roman" w:hAnsi="Times New Roman" w:cs="Times New Roman"/>
          <w:sz w:val="26"/>
          <w:szCs w:val="26"/>
        </w:rPr>
        <w:t xml:space="preserve"> Doanh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  <w:r w:rsidRPr="00B074CC">
        <w:rPr>
          <w:rFonts w:ascii="Times New Roman" w:hAnsi="Times New Roman" w:cs="Times New Roman"/>
          <w:sz w:val="26"/>
          <w:szCs w:val="26"/>
        </w:rPr>
        <w:br/>
      </w:r>
      <w:r w:rsidRPr="00B074CC">
        <w:rPr>
          <w:rFonts w:ascii="Segoe UI Symbol" w:hAnsi="Segoe UI Symbol" w:cs="Segoe UI Symbol"/>
          <w:sz w:val="26"/>
          <w:szCs w:val="26"/>
        </w:rPr>
        <w:t>➤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Tối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ưu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hoá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ERP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ERP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13AB07D" w14:textId="77777777" w:rsidR="00B074CC" w:rsidRPr="00B074CC" w:rsidRDefault="00B074CC" w:rsidP="00B074C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3. Lợi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ích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tổng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quát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</w:p>
    <w:p w14:paraId="1391731F" w14:textId="77777777" w:rsidR="00B074CC" w:rsidRPr="00B074CC" w:rsidRDefault="00B074CC" w:rsidP="00B074CC">
      <w:p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Thông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:</w:t>
      </w:r>
    </w:p>
    <w:p w14:paraId="4DFA1938" w14:textId="77777777" w:rsidR="00B074CC" w:rsidRPr="00B074CC" w:rsidRDefault="00B074CC" w:rsidP="00B074C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3.1.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Nâng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cao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</w:p>
    <w:p w14:paraId="0EA65296" w14:textId="77777777" w:rsidR="00B074CC" w:rsidRPr="00B074CC" w:rsidRDefault="00B074CC" w:rsidP="00B074CC">
      <w:p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sz w:val="26"/>
          <w:szCs w:val="26"/>
        </w:rPr>
        <w:t xml:space="preserve">Doanh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</w:p>
    <w:p w14:paraId="2AB340A7" w14:textId="77777777" w:rsidR="00B074CC" w:rsidRPr="00B074CC" w:rsidRDefault="00B074CC" w:rsidP="00B074C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3.2.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Giảm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chi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phí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tuân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thủ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cải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thiện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nguồn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</w:p>
    <w:p w14:paraId="39C411E6" w14:textId="77777777" w:rsidR="00B074CC" w:rsidRPr="00B074CC" w:rsidRDefault="00B074CC" w:rsidP="00B074C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bớt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gánh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</w:p>
    <w:p w14:paraId="482D6444" w14:textId="77777777" w:rsidR="00B074CC" w:rsidRPr="00B074CC" w:rsidRDefault="00B074CC" w:rsidP="00B074C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>3.3. T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ạo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kiện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thuận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lợi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tiếp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cận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vốn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mở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rộng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</w:p>
    <w:p w14:paraId="106C569A" w14:textId="77777777" w:rsidR="00B074CC" w:rsidRPr="00B074CC" w:rsidRDefault="00B074CC" w:rsidP="00B074CC">
      <w:p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sz w:val="26"/>
          <w:szCs w:val="26"/>
        </w:rPr>
        <w:lastRenderedPageBreak/>
        <w:t xml:space="preserve">Báo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</w:p>
    <w:p w14:paraId="54448E99" w14:textId="77777777" w:rsidR="00B074CC" w:rsidRPr="00B074CC" w:rsidRDefault="00B074CC" w:rsidP="00B074C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B074C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</w:p>
    <w:p w14:paraId="651F76D2" w14:textId="77777777" w:rsidR="00B074CC" w:rsidRPr="00B074CC" w:rsidRDefault="00B074CC" w:rsidP="00B074CC">
      <w:p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sz w:val="26"/>
          <w:szCs w:val="26"/>
        </w:rPr>
        <w:t xml:space="preserve">Thông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99/2025/TT-BTC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Việt Nam.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Thông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99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chặng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>.</w:t>
      </w:r>
    </w:p>
    <w:p w14:paraId="031E3E12" w14:textId="41AD81D5" w:rsidR="00B074CC" w:rsidRPr="00B074CC" w:rsidRDefault="00B074CC" w:rsidP="00B074C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A3FDB9B" w14:textId="77777777" w:rsidR="00B074CC" w:rsidRPr="00B074CC" w:rsidRDefault="00B074CC" w:rsidP="00B074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74CC">
        <w:rPr>
          <w:rFonts w:ascii="Times New Roman" w:hAnsi="Times New Roman" w:cs="Times New Roman"/>
          <w:b/>
          <w:bCs/>
          <w:sz w:val="32"/>
          <w:szCs w:val="32"/>
        </w:rPr>
        <w:t xml:space="preserve">Tài </w:t>
      </w:r>
      <w:proofErr w:type="spellStart"/>
      <w:r w:rsidRPr="00B074CC">
        <w:rPr>
          <w:rFonts w:ascii="Times New Roman" w:hAnsi="Times New Roman" w:cs="Times New Roman"/>
          <w:b/>
          <w:bCs/>
          <w:sz w:val="32"/>
          <w:szCs w:val="32"/>
        </w:rPr>
        <w:t>liệu</w:t>
      </w:r>
      <w:proofErr w:type="spellEnd"/>
      <w:r w:rsidRPr="00B074C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32"/>
          <w:szCs w:val="32"/>
        </w:rPr>
        <w:t>tham</w:t>
      </w:r>
      <w:proofErr w:type="spellEnd"/>
      <w:r w:rsidRPr="00B074C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074CC">
        <w:rPr>
          <w:rFonts w:ascii="Times New Roman" w:hAnsi="Times New Roman" w:cs="Times New Roman"/>
          <w:b/>
          <w:bCs/>
          <w:sz w:val="32"/>
          <w:szCs w:val="32"/>
        </w:rPr>
        <w:t>khảo</w:t>
      </w:r>
      <w:proofErr w:type="spellEnd"/>
    </w:p>
    <w:p w14:paraId="5245D392" w14:textId="77777777" w:rsidR="00B074CC" w:rsidRPr="00B074CC" w:rsidRDefault="00B074CC" w:rsidP="00B074C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Các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mới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về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Báo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chính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Thông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99/2025/TT-BTC (Ketoan.vn)</w:t>
      </w:r>
      <w:r w:rsidRPr="00B074CC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BD25896" w14:textId="77777777" w:rsidR="00B074CC" w:rsidRPr="00B074CC" w:rsidRDefault="00B074CC" w:rsidP="00B074C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Thông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tư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99/2025/TT-BTC –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nâng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cao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kiểm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soát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bộ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giải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pháp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doanh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i/>
          <w:iCs/>
          <w:sz w:val="26"/>
          <w:szCs w:val="26"/>
        </w:rPr>
        <w:t>nghiệp</w:t>
      </w:r>
      <w:proofErr w:type="spellEnd"/>
      <w:r w:rsidRPr="00B074CC">
        <w:rPr>
          <w:rFonts w:ascii="Times New Roman" w:hAnsi="Times New Roman" w:cs="Times New Roman"/>
          <w:i/>
          <w:iCs/>
          <w:sz w:val="26"/>
          <w:szCs w:val="26"/>
        </w:rPr>
        <w:t xml:space="preserve"> (TRG International)</w:t>
      </w:r>
      <w:r w:rsidRPr="00B074CC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F9D5673" w14:textId="77777777" w:rsidR="00B074CC" w:rsidRPr="00B074CC" w:rsidRDefault="00B074CC" w:rsidP="00B074C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074CC">
        <w:rPr>
          <w:rFonts w:ascii="Times New Roman" w:hAnsi="Times New Roman" w:cs="Times New Roman"/>
          <w:i/>
          <w:iCs/>
          <w:sz w:val="26"/>
          <w:szCs w:val="26"/>
        </w:rPr>
        <w:t>Vietnam’s Tax and Accounting Updates for Businesses in 2026 (Vietnam Briefing)</w:t>
      </w:r>
      <w:r w:rsidRPr="00B074CC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4C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4CC">
        <w:rPr>
          <w:rFonts w:ascii="Times New Roman" w:hAnsi="Times New Roman" w:cs="Times New Roman"/>
          <w:sz w:val="26"/>
          <w:szCs w:val="26"/>
        </w:rPr>
        <w:t xml:space="preserve"> ERP alignment. </w:t>
      </w:r>
    </w:p>
    <w:p w14:paraId="49B4CEB8" w14:textId="77777777" w:rsidR="00135046" w:rsidRPr="00B074CC" w:rsidRDefault="00135046" w:rsidP="00B074C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35046" w:rsidRPr="00B074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DBE7" w14:textId="77777777" w:rsidR="00CB2898" w:rsidRDefault="00CB2898" w:rsidP="00B074CC">
      <w:pPr>
        <w:spacing w:after="0" w:line="240" w:lineRule="auto"/>
      </w:pPr>
      <w:r>
        <w:separator/>
      </w:r>
    </w:p>
  </w:endnote>
  <w:endnote w:type="continuationSeparator" w:id="0">
    <w:p w14:paraId="681CFE52" w14:textId="77777777" w:rsidR="00CB2898" w:rsidRDefault="00CB2898" w:rsidP="00B0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5202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E5F91" w14:textId="4D4B5C47" w:rsidR="00B074CC" w:rsidRDefault="00B074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B3557" w14:textId="77777777" w:rsidR="00B074CC" w:rsidRDefault="00B07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9B1F" w14:textId="77777777" w:rsidR="00CB2898" w:rsidRDefault="00CB2898" w:rsidP="00B074CC">
      <w:pPr>
        <w:spacing w:after="0" w:line="240" w:lineRule="auto"/>
      </w:pPr>
      <w:r>
        <w:separator/>
      </w:r>
    </w:p>
  </w:footnote>
  <w:footnote w:type="continuationSeparator" w:id="0">
    <w:p w14:paraId="6C2519FE" w14:textId="77777777" w:rsidR="00CB2898" w:rsidRDefault="00CB2898" w:rsidP="00B07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83F"/>
    <w:multiLevelType w:val="multilevel"/>
    <w:tmpl w:val="C56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D65F7"/>
    <w:multiLevelType w:val="multilevel"/>
    <w:tmpl w:val="244C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A2F1A"/>
    <w:multiLevelType w:val="multilevel"/>
    <w:tmpl w:val="4B5E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B18C6"/>
    <w:multiLevelType w:val="multilevel"/>
    <w:tmpl w:val="4BDA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934868">
    <w:abstractNumId w:val="0"/>
  </w:num>
  <w:num w:numId="2" w16cid:durableId="1106122338">
    <w:abstractNumId w:val="1"/>
  </w:num>
  <w:num w:numId="3" w16cid:durableId="1244140961">
    <w:abstractNumId w:val="2"/>
  </w:num>
  <w:num w:numId="4" w16cid:durableId="2024479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CC"/>
    <w:rsid w:val="00135046"/>
    <w:rsid w:val="00B074CC"/>
    <w:rsid w:val="00BC6716"/>
    <w:rsid w:val="00CB2898"/>
    <w:rsid w:val="00D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429A"/>
  <w15:chartTrackingRefBased/>
  <w15:docId w15:val="{EEF3A931-B9A2-4D75-983A-B8EBCA77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4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4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4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4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4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4C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4C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4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4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4C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4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4C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4C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7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4CC"/>
  </w:style>
  <w:style w:type="paragraph" w:styleId="Footer">
    <w:name w:val="footer"/>
    <w:basedOn w:val="Normal"/>
    <w:link w:val="FooterChar"/>
    <w:uiPriority w:val="99"/>
    <w:unhideWhenUsed/>
    <w:rsid w:val="00B07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1</cp:revision>
  <dcterms:created xsi:type="dcterms:W3CDTF">2026-01-15T03:05:00Z</dcterms:created>
  <dcterms:modified xsi:type="dcterms:W3CDTF">2026-01-15T03:11:00Z</dcterms:modified>
</cp:coreProperties>
</file>