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FE7E36" w:rsidRDefault="00493A0B" w:rsidP="00FD1D8C">
      <w:pPr>
        <w:spacing w:after="0" w:line="312" w:lineRule="auto"/>
        <w:ind w:firstLine="720"/>
        <w:rPr>
          <w:rFonts w:ascii="Times New Roman" w:hAnsi="Times New Roman" w:cs="Times New Roman"/>
          <w:b/>
          <w:sz w:val="26"/>
          <w:szCs w:val="26"/>
        </w:rPr>
      </w:pPr>
      <w:r w:rsidRPr="00FE7E36">
        <w:rPr>
          <w:rFonts w:ascii="Times New Roman" w:hAnsi="Times New Roman" w:cs="Times New Roman"/>
          <w:b/>
          <w:sz w:val="26"/>
          <w:szCs w:val="26"/>
        </w:rPr>
        <w:t>MỘT SỐ CHÍNH SÁCH THUẾ CÓ HIỆU LỰC TỪ NGÀY 01/01/2026</w:t>
      </w:r>
    </w:p>
    <w:p w:rsidR="00493A0B" w:rsidRPr="00FE7E36" w:rsidRDefault="004973F8" w:rsidP="00FD1D8C">
      <w:pPr>
        <w:spacing w:after="0" w:line="312" w:lineRule="auto"/>
        <w:ind w:left="2160" w:firstLine="720"/>
        <w:rPr>
          <w:rFonts w:ascii="Times New Roman" w:hAnsi="Times New Roman" w:cs="Times New Roman"/>
          <w:sz w:val="26"/>
          <w:szCs w:val="26"/>
        </w:rPr>
      </w:pPr>
      <w:r w:rsidRPr="00FE7E36">
        <w:rPr>
          <w:rFonts w:ascii="Times New Roman" w:hAnsi="Times New Roman" w:cs="Times New Roman"/>
          <w:sz w:val="26"/>
          <w:szCs w:val="26"/>
        </w:rPr>
        <w:t xml:space="preserve">          </w:t>
      </w:r>
      <w:r w:rsidR="00493A0B" w:rsidRPr="00FE7E36">
        <w:rPr>
          <w:rFonts w:ascii="Times New Roman" w:hAnsi="Times New Roman" w:cs="Times New Roman"/>
          <w:sz w:val="26"/>
          <w:szCs w:val="26"/>
        </w:rPr>
        <w:t>ThS. Mai Thị Quỳnh Như – Khoa Kế toán</w:t>
      </w:r>
    </w:p>
    <w:p w:rsidR="006434D5" w:rsidRPr="00FE7E36" w:rsidRDefault="00FE7E36" w:rsidP="00FD1D8C">
      <w:pPr>
        <w:spacing w:after="0" w:line="312" w:lineRule="auto"/>
        <w:rPr>
          <w:rFonts w:ascii="Times New Roman" w:hAnsi="Times New Roman" w:cs="Times New Roman"/>
          <w:b/>
          <w:bCs/>
          <w:sz w:val="26"/>
          <w:szCs w:val="26"/>
        </w:rPr>
      </w:pPr>
      <w:r w:rsidRPr="00FE7E36">
        <w:rPr>
          <w:rFonts w:ascii="Times New Roman" w:hAnsi="Times New Roman" w:cs="Times New Roman"/>
          <w:b/>
          <w:bCs/>
          <w:sz w:val="26"/>
          <w:szCs w:val="26"/>
        </w:rPr>
        <w:t xml:space="preserve">1. </w:t>
      </w:r>
      <w:r w:rsidR="006434D5" w:rsidRPr="00FE7E36">
        <w:rPr>
          <w:rFonts w:ascii="Times New Roman" w:hAnsi="Times New Roman" w:cs="Times New Roman"/>
          <w:b/>
          <w:bCs/>
          <w:sz w:val="26"/>
          <w:szCs w:val="26"/>
        </w:rPr>
        <w:t>Xóa bỏ thuế môn bài từ 01/01/2026</w:t>
      </w:r>
    </w:p>
    <w:p w:rsidR="006434D5" w:rsidRPr="00FE7E36" w:rsidRDefault="006434D5" w:rsidP="00C11DD7">
      <w:pPr>
        <w:spacing w:after="0" w:line="312" w:lineRule="auto"/>
        <w:jc w:val="both"/>
        <w:rPr>
          <w:rFonts w:ascii="Times New Roman" w:hAnsi="Times New Roman" w:cs="Times New Roman"/>
          <w:sz w:val="26"/>
          <w:szCs w:val="26"/>
        </w:rPr>
      </w:pPr>
      <w:r w:rsidRPr="00FE7E36">
        <w:rPr>
          <w:rFonts w:ascii="Times New Roman" w:hAnsi="Times New Roman" w:cs="Times New Roman"/>
          <w:sz w:val="26"/>
          <w:szCs w:val="26"/>
        </w:rPr>
        <w:t xml:space="preserve"> Theo </w:t>
      </w:r>
      <w:r w:rsidRPr="00FE7E36">
        <w:rPr>
          <w:rFonts w:ascii="Times New Roman" w:hAnsi="Times New Roman" w:cs="Times New Roman"/>
          <w:bCs/>
          <w:sz w:val="26"/>
          <w:szCs w:val="26"/>
        </w:rPr>
        <w:t>Nghị quyết 198/2025/QH15</w:t>
      </w:r>
      <w:r w:rsidRPr="00FE7E36">
        <w:rPr>
          <w:rFonts w:ascii="Times New Roman" w:hAnsi="Times New Roman" w:cs="Times New Roman"/>
          <w:sz w:val="26"/>
          <w:szCs w:val="26"/>
        </w:rPr>
        <w:t xml:space="preserve"> của Quốc hội (có hiệu lực từ 1/1/2026), </w:t>
      </w:r>
      <w:r w:rsidRPr="00FE7E36">
        <w:rPr>
          <w:rFonts w:ascii="Times New Roman" w:hAnsi="Times New Roman" w:cs="Times New Roman"/>
          <w:bCs/>
          <w:sz w:val="26"/>
          <w:szCs w:val="26"/>
        </w:rPr>
        <w:t>tất cả các tổ chức, cá nhân, hộ kinh doanh, doan</w:t>
      </w:r>
      <w:bookmarkStart w:id="0" w:name="_GoBack"/>
      <w:bookmarkEnd w:id="0"/>
      <w:r w:rsidRPr="00FE7E36">
        <w:rPr>
          <w:rFonts w:ascii="Times New Roman" w:hAnsi="Times New Roman" w:cs="Times New Roman"/>
          <w:bCs/>
          <w:sz w:val="26"/>
          <w:szCs w:val="26"/>
        </w:rPr>
        <w:t>h nghiệp</w:t>
      </w:r>
      <w:r w:rsidRPr="00FE7E36">
        <w:rPr>
          <w:rFonts w:ascii="Times New Roman" w:hAnsi="Times New Roman" w:cs="Times New Roman"/>
          <w:sz w:val="26"/>
          <w:szCs w:val="26"/>
        </w:rPr>
        <w:t xml:space="preserve"> sẽ </w:t>
      </w:r>
      <w:r w:rsidRPr="00FE7E36">
        <w:rPr>
          <w:rFonts w:ascii="Times New Roman" w:hAnsi="Times New Roman" w:cs="Times New Roman"/>
          <w:bCs/>
          <w:sz w:val="26"/>
          <w:szCs w:val="26"/>
        </w:rPr>
        <w:t>không còn phải kê khai, nộp thuế môn bài nữa</w:t>
      </w:r>
      <w:r w:rsidRPr="00FE7E36">
        <w:rPr>
          <w:rFonts w:ascii="Times New Roman" w:hAnsi="Times New Roman" w:cs="Times New Roman"/>
          <w:sz w:val="26"/>
          <w:szCs w:val="26"/>
        </w:rPr>
        <w:t xml:space="preserve"> từ năm 2026 trở đi. </w:t>
      </w:r>
    </w:p>
    <w:p w:rsidR="00514161" w:rsidRPr="00FE7E36" w:rsidRDefault="006434D5" w:rsidP="00FD50C7">
      <w:pPr>
        <w:spacing w:after="0" w:line="312" w:lineRule="auto"/>
        <w:rPr>
          <w:rFonts w:ascii="Times New Roman" w:hAnsi="Times New Roman" w:cs="Times New Roman"/>
          <w:sz w:val="26"/>
          <w:szCs w:val="26"/>
        </w:rPr>
      </w:pPr>
      <w:r w:rsidRPr="00FE7E36">
        <w:rPr>
          <w:rFonts w:ascii="Segoe UI Symbol" w:hAnsi="Segoe UI Symbol" w:cs="Segoe UI Symbol"/>
          <w:sz w:val="26"/>
          <w:szCs w:val="26"/>
        </w:rPr>
        <w:t>✔</w:t>
      </w:r>
      <w:r w:rsidRPr="00FE7E36">
        <w:rPr>
          <w:rFonts w:ascii="Times New Roman" w:hAnsi="Times New Roman" w:cs="Times New Roman"/>
          <w:sz w:val="26"/>
          <w:szCs w:val="26"/>
        </w:rPr>
        <w:t>️ Điều này áp dụng cho mọi loại hình:</w:t>
      </w:r>
      <w:r w:rsidRPr="00FE7E36">
        <w:rPr>
          <w:rFonts w:ascii="Times New Roman" w:hAnsi="Times New Roman" w:cs="Times New Roman"/>
          <w:sz w:val="26"/>
          <w:szCs w:val="26"/>
        </w:rPr>
        <w:br/>
        <w:t>• Doanh nghiệp thành lập mới sau 1/1/2026</w:t>
      </w:r>
      <w:r w:rsidRPr="00FE7E36">
        <w:rPr>
          <w:rFonts w:ascii="Times New Roman" w:hAnsi="Times New Roman" w:cs="Times New Roman"/>
          <w:sz w:val="26"/>
          <w:szCs w:val="26"/>
        </w:rPr>
        <w:br/>
        <w:t>• Doanh nghiệp đang hoạt động</w:t>
      </w:r>
      <w:r w:rsidRPr="00FE7E36">
        <w:rPr>
          <w:rFonts w:ascii="Times New Roman" w:hAnsi="Times New Roman" w:cs="Times New Roman"/>
          <w:sz w:val="26"/>
          <w:szCs w:val="26"/>
        </w:rPr>
        <w:br/>
        <w:t>• Hộ kinh doanh và cá nhân kinh doanh</w:t>
      </w:r>
      <w:r w:rsidRPr="00FE7E36">
        <w:rPr>
          <w:rFonts w:ascii="Times New Roman" w:hAnsi="Times New Roman" w:cs="Times New Roman"/>
          <w:sz w:val="26"/>
          <w:szCs w:val="26"/>
        </w:rPr>
        <w:br/>
      </w:r>
      <w:r w:rsidR="00514161" w:rsidRPr="00FE7E36">
        <w:rPr>
          <w:rStyle w:val="Strong"/>
          <w:rFonts w:ascii="Times New Roman" w:hAnsi="Times New Roman" w:cs="Times New Roman"/>
          <w:bCs w:val="0"/>
          <w:sz w:val="26"/>
          <w:szCs w:val="26"/>
        </w:rPr>
        <w:t>2. Các loại thuế hộ kinh doanh phải nộp năm 2026</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Theo quy định về quản lý thuế, có 3 loại thuế, phí mà hộ kinh doanh phải nộp bao gồm: </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Lệ phí môn bài (hay còn gọi là thuế môn bài); </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Thuế giá trị gia tăng (GTGT);</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Thuế thu nhập cá nhân (TNCN).</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Tuy nhiên, lệ phí môn bài sẽ chính thức bị bãi bỏ từ 01/01/2026, nên hộ kinh doanh sẽ phải nộp 2 loại thuế là thuế GTGT và thuế TNCN từ 2026. </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Ngoài các loại thuế nêu trên, hộ kinh doanh còn có thể phải nộp thuế bảo vệ môi trường, thuế tài nguyên… nếu kinh doanh hàng hóa thuộc đối tượng chịu thuế của các luật này.</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Theo khoản 25 Điều 5 và Điều 17 </w:t>
      </w:r>
      <w:hyperlink r:id="rId5" w:tgtFrame="_blank" w:history="1">
        <w:r w:rsidRPr="00FE7E36">
          <w:rPr>
            <w:rStyle w:val="Hyperlink"/>
            <w:color w:val="auto"/>
            <w:sz w:val="26"/>
            <w:szCs w:val="26"/>
            <w:u w:val="none"/>
          </w:rPr>
          <w:t>Luật Thuế Giá trị gia tăng 2024</w:t>
        </w:r>
      </w:hyperlink>
      <w:r w:rsidRPr="00FE7E36">
        <w:rPr>
          <w:sz w:val="26"/>
          <w:szCs w:val="26"/>
        </w:rPr>
        <w:t> thì từ ngày 1/1/2026, những hàng hóa, dịch vụ của hộ, cá nhân sản xuất, kinh doanh có mức doanh thu hằng năm từ 200 triệu đồng/năm trở lên sẽ phải chịu thuế GTGT, thuế TNCN.</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Theo đó, tại </w:t>
      </w:r>
      <w:hyperlink r:id="rId6" w:tgtFrame="_blank" w:history="1">
        <w:r w:rsidRPr="00FE7E36">
          <w:rPr>
            <w:rStyle w:val="Hyperlink"/>
            <w:color w:val="auto"/>
            <w:sz w:val="26"/>
            <w:szCs w:val="26"/>
            <w:u w:val="none"/>
          </w:rPr>
          <w:t>Quyết định 3389/QĐ-BTC năm 2025</w:t>
        </w:r>
      </w:hyperlink>
      <w:r w:rsidRPr="00FE7E36">
        <w:rPr>
          <w:sz w:val="26"/>
          <w:szCs w:val="26"/>
        </w:rPr>
        <w:t> hướng dẫn tính thuế GTGT, thuế TNCN đối với hộ kinh doanh từ 2026 như sau: </w:t>
      </w:r>
    </w:p>
    <w:p w:rsidR="00514161" w:rsidRPr="00FE7E36" w:rsidRDefault="00BD1591" w:rsidP="00C11DD7">
      <w:pPr>
        <w:pStyle w:val="NormalWeb"/>
        <w:shd w:val="clear" w:color="auto" w:fill="FFFFFF"/>
        <w:spacing w:before="0" w:beforeAutospacing="0" w:after="0" w:afterAutospacing="0" w:line="312" w:lineRule="auto"/>
        <w:jc w:val="both"/>
        <w:rPr>
          <w:sz w:val="26"/>
          <w:szCs w:val="26"/>
        </w:rPr>
      </w:pPr>
      <w:r w:rsidRPr="00FE7E36">
        <w:rPr>
          <w:rStyle w:val="Emphasis"/>
          <w:bCs/>
          <w:sz w:val="26"/>
          <w:szCs w:val="26"/>
        </w:rPr>
        <w:t>2.1</w:t>
      </w:r>
      <w:r w:rsidR="00514161" w:rsidRPr="00FE7E36">
        <w:rPr>
          <w:rStyle w:val="Emphasis"/>
          <w:bCs/>
          <w:sz w:val="26"/>
          <w:szCs w:val="26"/>
        </w:rPr>
        <w:t xml:space="preserve"> Cách tính thuế GTGT</w:t>
      </w:r>
    </w:p>
    <w:p w:rsidR="00514161" w:rsidRPr="00FD1D8C" w:rsidRDefault="00514161" w:rsidP="00C11DD7">
      <w:pPr>
        <w:pStyle w:val="NormalWeb"/>
        <w:shd w:val="clear" w:color="auto" w:fill="FFFFFF"/>
        <w:spacing w:before="0" w:beforeAutospacing="0" w:after="0" w:afterAutospacing="0" w:line="312" w:lineRule="auto"/>
        <w:jc w:val="both"/>
        <w:rPr>
          <w:i/>
          <w:sz w:val="26"/>
          <w:szCs w:val="26"/>
        </w:rPr>
      </w:pPr>
      <w:r w:rsidRPr="00FD1D8C">
        <w:rPr>
          <w:rStyle w:val="Emphasis"/>
          <w:i w:val="0"/>
          <w:sz w:val="26"/>
          <w:szCs w:val="26"/>
        </w:rPr>
        <w:t>* Đối với hộ kinh doanh có doanh từ 200 triệu đồng đến dưới hoặc bằng 3 tỷ đồng/ năm</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Được tính theo phương pháp trực tiếp trên % doanh thu:</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rStyle w:val="Strong"/>
          <w:b w:val="0"/>
          <w:sz w:val="26"/>
          <w:szCs w:val="26"/>
        </w:rPr>
        <w:t>Thuế GTGT phải nộp = Doanh thu x Tỷ lệ %</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Tỷ lệ % để tính thuế giá trị gia tăng được quy định như sau:</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Phân phối, cung cấp hàng hóa: 1%;</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Dịch vụ, xây dựng không bao thầu nguyên vật liệu: 5%;</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Sản xuất, vận tải, dịch vụ có gắn với hàng hóa, xây dựng có bao thầu nguyên vật liệu: 3%;</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Hoạt động kinh doanh khác: 2%;</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lastRenderedPageBreak/>
        <w:t>Doanh thu để tính thuế giá trị gia tăng là tổng số tiền bán hàng hóa, dịch vụ ghi trên hóa đơn bán hàng, bao gồm các khoản phụ thu và phí thu thêm mà cơ sở kinh doanh được hưởng.</w:t>
      </w:r>
    </w:p>
    <w:p w:rsidR="00514161" w:rsidRPr="00FD1D8C" w:rsidRDefault="00514161" w:rsidP="00C11DD7">
      <w:pPr>
        <w:pStyle w:val="NormalWeb"/>
        <w:shd w:val="clear" w:color="auto" w:fill="FFFFFF"/>
        <w:spacing w:before="0" w:beforeAutospacing="0" w:after="0" w:afterAutospacing="0" w:line="312" w:lineRule="auto"/>
        <w:jc w:val="both"/>
        <w:rPr>
          <w:i/>
          <w:sz w:val="26"/>
          <w:szCs w:val="26"/>
        </w:rPr>
      </w:pPr>
      <w:r w:rsidRPr="00FD1D8C">
        <w:rPr>
          <w:rStyle w:val="Emphasis"/>
          <w:i w:val="0"/>
          <w:sz w:val="26"/>
          <w:szCs w:val="26"/>
        </w:rPr>
        <w:t>* Đối với hộ kinh doanh có doanh trên 03 tỷ đồng/năm</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 Áp dụng phương pháp khấu trừ thuế GTGT:</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rStyle w:val="Strong"/>
          <w:rFonts w:eastAsiaTheme="majorEastAsia"/>
          <w:b w:val="0"/>
          <w:sz w:val="26"/>
          <w:szCs w:val="26"/>
        </w:rPr>
        <w:t>Thuế GTGT phải nộp = Thuế GTGT đầu ra - Thuế GTGT đầu vào</w:t>
      </w:r>
    </w:p>
    <w:p w:rsidR="00514161" w:rsidRPr="00FE7E36" w:rsidRDefault="00800356" w:rsidP="00C11DD7">
      <w:pPr>
        <w:pStyle w:val="NormalWeb"/>
        <w:shd w:val="clear" w:color="auto" w:fill="FFFFFF"/>
        <w:spacing w:before="0" w:beforeAutospacing="0" w:after="0" w:afterAutospacing="0" w:line="312" w:lineRule="auto"/>
        <w:jc w:val="both"/>
        <w:rPr>
          <w:sz w:val="26"/>
          <w:szCs w:val="26"/>
        </w:rPr>
      </w:pPr>
      <w:r w:rsidRPr="00FE7E36">
        <w:rPr>
          <w:rStyle w:val="Emphasis"/>
          <w:bCs/>
          <w:sz w:val="26"/>
          <w:szCs w:val="26"/>
        </w:rPr>
        <w:t>*</w:t>
      </w:r>
      <w:r w:rsidR="00514161" w:rsidRPr="00FE7E36">
        <w:rPr>
          <w:rStyle w:val="Emphasis"/>
          <w:bCs/>
          <w:sz w:val="26"/>
          <w:szCs w:val="26"/>
        </w:rPr>
        <w:t>Cách tính thuế TNCN</w:t>
      </w:r>
    </w:p>
    <w:p w:rsidR="00514161" w:rsidRPr="00FD1D8C" w:rsidRDefault="00800356" w:rsidP="00C11DD7">
      <w:pPr>
        <w:pStyle w:val="NormalWeb"/>
        <w:shd w:val="clear" w:color="auto" w:fill="FFFFFF"/>
        <w:spacing w:before="0" w:beforeAutospacing="0" w:after="0" w:afterAutospacing="0" w:line="312" w:lineRule="auto"/>
        <w:jc w:val="both"/>
        <w:rPr>
          <w:i/>
          <w:sz w:val="26"/>
          <w:szCs w:val="26"/>
        </w:rPr>
      </w:pPr>
      <w:r w:rsidRPr="00FD1D8C">
        <w:rPr>
          <w:rStyle w:val="Emphasis"/>
          <w:i w:val="0"/>
          <w:sz w:val="26"/>
          <w:szCs w:val="26"/>
        </w:rPr>
        <w:t xml:space="preserve">- </w:t>
      </w:r>
      <w:r w:rsidR="00514161" w:rsidRPr="00FD1D8C">
        <w:rPr>
          <w:rStyle w:val="Emphasis"/>
          <w:i w:val="0"/>
          <w:sz w:val="26"/>
          <w:szCs w:val="26"/>
        </w:rPr>
        <w:t>Đối với hộ kinh doanh có doanh từ 200 triệu đồng đến dưới hoặc bằng 3 tỷ đồng/ năm</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Tính theo tỷ lệ % trên doanh thu theo từng ngành nghề</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rStyle w:val="Strong"/>
          <w:rFonts w:eastAsiaTheme="majorEastAsia"/>
          <w:b w:val="0"/>
          <w:sz w:val="26"/>
          <w:szCs w:val="26"/>
        </w:rPr>
        <w:t>Số thuế TNCN phải nộp = Doanh thu x Tỷ lệ %</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Doanh thu là toàn bộ tiền bán hàng, tiền gia công, tiền hoa hồng, tiền cung ứng dịch vụ phát sinh trong kỳ tính thuế từ các hoạt động sản xuất, kinh doanh hàng hoá, dịch vụ. Trường hợp cá nhân kinh doanh không xác định được doanh thu thì cơ quan thuế có thẩm quyền ấn định doanh thu theo quy định của pháp luật về quản lý thuế.</w:t>
      </w:r>
    </w:p>
    <w:p w:rsidR="00514161" w:rsidRPr="00FE7E36" w:rsidRDefault="00514161" w:rsidP="00C11DD7">
      <w:pPr>
        <w:pStyle w:val="NormalWeb"/>
        <w:shd w:val="clear" w:color="auto" w:fill="FFFFFF"/>
        <w:spacing w:before="0" w:beforeAutospacing="0" w:after="0" w:afterAutospacing="0" w:line="312" w:lineRule="auto"/>
        <w:ind w:left="-142"/>
        <w:jc w:val="both"/>
        <w:rPr>
          <w:sz w:val="26"/>
          <w:szCs w:val="26"/>
        </w:rPr>
      </w:pPr>
      <w:r w:rsidRPr="00FE7E36">
        <w:rPr>
          <w:sz w:val="26"/>
          <w:szCs w:val="26"/>
        </w:rPr>
        <w:t>Mức thuế suất được quy định như sau:</w:t>
      </w:r>
      <w:r w:rsidRPr="00FE7E36">
        <w:rPr>
          <w:sz w:val="26"/>
          <w:szCs w:val="26"/>
        </w:rPr>
        <w:br/>
        <w:t> - Phân phối, cung cấp hàng hoá: 0,5%;</w:t>
      </w:r>
      <w:r w:rsidRPr="00FE7E36">
        <w:rPr>
          <w:sz w:val="26"/>
          <w:szCs w:val="26"/>
        </w:rPr>
        <w:br/>
        <w:t> - Dịch vụ, xây dựng không bao thầu nguyên vật liệu: 2% .</w:t>
      </w:r>
      <w:r w:rsidRPr="00FE7E36">
        <w:rPr>
          <w:sz w:val="26"/>
          <w:szCs w:val="26"/>
        </w:rPr>
        <w:br/>
        <w:t> - Riêng hoạt động cho thuê tài sản, đại lý bảo hiểm, đại lý xổ số, đại lý bán hàng đa cấp: 5%;</w:t>
      </w:r>
      <w:r w:rsidRPr="00FE7E36">
        <w:rPr>
          <w:sz w:val="26"/>
          <w:szCs w:val="26"/>
        </w:rPr>
        <w:br/>
        <w:t> - Sản xuất, vận tải, dịch vụ có gắn với hàng hoá, xây dựng có bao thầu nguyên vật liệu: 1,5%;</w:t>
      </w:r>
      <w:r w:rsidRPr="00FE7E36">
        <w:rPr>
          <w:sz w:val="26"/>
          <w:szCs w:val="26"/>
        </w:rPr>
        <w:br/>
        <w:t> - Hoạt động kinh doanh khác: 1%.</w:t>
      </w:r>
    </w:p>
    <w:p w:rsidR="00514161" w:rsidRPr="00FD1D8C" w:rsidRDefault="00800356" w:rsidP="00C11DD7">
      <w:pPr>
        <w:pStyle w:val="NormalWeb"/>
        <w:shd w:val="clear" w:color="auto" w:fill="FFFFFF"/>
        <w:spacing w:before="0" w:beforeAutospacing="0" w:after="0" w:afterAutospacing="0" w:line="312" w:lineRule="auto"/>
        <w:ind w:left="-142"/>
        <w:jc w:val="both"/>
        <w:rPr>
          <w:i/>
          <w:sz w:val="26"/>
          <w:szCs w:val="26"/>
        </w:rPr>
      </w:pPr>
      <w:r w:rsidRPr="00FD1D8C">
        <w:rPr>
          <w:rStyle w:val="Emphasis"/>
          <w:i w:val="0"/>
          <w:sz w:val="26"/>
          <w:szCs w:val="26"/>
        </w:rPr>
        <w:t xml:space="preserve">- </w:t>
      </w:r>
      <w:r w:rsidR="00514161" w:rsidRPr="00FD1D8C">
        <w:rPr>
          <w:rStyle w:val="Emphasis"/>
          <w:i w:val="0"/>
          <w:sz w:val="26"/>
          <w:szCs w:val="26"/>
        </w:rPr>
        <w:t>Đối với hộ kinh doanh có doanh trên 03 tỷ đồng/năm</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sz w:val="26"/>
          <w:szCs w:val="26"/>
        </w:rPr>
        <w:t>Thuế TNCN tính 17% trên tổng lợi nhuận, trong đó:</w:t>
      </w:r>
    </w:p>
    <w:p w:rsidR="00514161" w:rsidRPr="00FE7E36" w:rsidRDefault="00514161" w:rsidP="00C11DD7">
      <w:pPr>
        <w:pStyle w:val="NormalWeb"/>
        <w:shd w:val="clear" w:color="auto" w:fill="FFFFFF"/>
        <w:spacing w:before="0" w:beforeAutospacing="0" w:after="0" w:afterAutospacing="0" w:line="312" w:lineRule="auto"/>
        <w:jc w:val="both"/>
        <w:rPr>
          <w:sz w:val="26"/>
          <w:szCs w:val="26"/>
        </w:rPr>
      </w:pPr>
      <w:r w:rsidRPr="00FE7E36">
        <w:rPr>
          <w:rStyle w:val="Strong"/>
          <w:rFonts w:eastAsiaTheme="majorEastAsia"/>
          <w:b w:val="0"/>
          <w:sz w:val="26"/>
          <w:szCs w:val="26"/>
        </w:rPr>
        <w:t>Lợi nhuận = Doanh thu - Chi phí hợp lý</w:t>
      </w:r>
    </w:p>
    <w:p w:rsidR="00C30D2A" w:rsidRPr="00FE7E36" w:rsidRDefault="00800356" w:rsidP="00C11DD7">
      <w:pPr>
        <w:pStyle w:val="Heading1"/>
        <w:shd w:val="clear" w:color="auto" w:fill="FFFFFF"/>
        <w:spacing w:before="0" w:line="312" w:lineRule="auto"/>
        <w:jc w:val="both"/>
        <w:rPr>
          <w:rFonts w:ascii="Times New Roman" w:hAnsi="Times New Roman" w:cs="Times New Roman"/>
          <w:color w:val="auto"/>
          <w:sz w:val="26"/>
          <w:szCs w:val="26"/>
        </w:rPr>
      </w:pPr>
      <w:r w:rsidRPr="00FE7E36">
        <w:rPr>
          <w:rFonts w:ascii="Times New Roman" w:hAnsi="Times New Roman" w:cs="Times New Roman"/>
          <w:color w:val="auto"/>
          <w:sz w:val="26"/>
          <w:szCs w:val="26"/>
        </w:rPr>
        <w:t xml:space="preserve">2.2  </w:t>
      </w:r>
      <w:r w:rsidR="00C30D2A" w:rsidRPr="00FE7E36">
        <w:rPr>
          <w:rFonts w:ascii="Times New Roman" w:hAnsi="Times New Roman" w:cs="Times New Roman"/>
          <w:color w:val="auto"/>
          <w:sz w:val="26"/>
          <w:szCs w:val="26"/>
        </w:rPr>
        <w:t>Cách tính thuế thu nhập cá nhân 2026 từ tiền lương tiền công</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rStyle w:val="Emphasis"/>
          <w:bCs/>
          <w:sz w:val="26"/>
          <w:szCs w:val="26"/>
        </w:rPr>
        <w:t>(1) Đối với cá nhân cư trú</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Căn cứ Điều 8 </w:t>
      </w:r>
      <w:hyperlink r:id="rId7" w:tgtFrame="_blank" w:history="1">
        <w:r w:rsidRPr="00FE7E36">
          <w:rPr>
            <w:rStyle w:val="Hyperlink"/>
            <w:color w:val="auto"/>
            <w:sz w:val="26"/>
            <w:szCs w:val="26"/>
            <w:u w:val="none"/>
          </w:rPr>
          <w:t>Luật Thuế thu nhập cá nhân 2025</w:t>
        </w:r>
      </w:hyperlink>
      <w:r w:rsidRPr="00FE7E36">
        <w:rPr>
          <w:sz w:val="26"/>
          <w:szCs w:val="26"/>
        </w:rPr>
        <w:t> quy định thuế thu nhập cá nhân đối với thu nhập từ tiền lương, tiền công như sau: </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Căn cứ tính thuế đối với thu nhập từ tiền lương, tiền công là thu nhập tính thuế và thuế suất, cụ thể như sau:</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rStyle w:val="Strong"/>
          <w:b w:val="0"/>
          <w:sz w:val="26"/>
          <w:szCs w:val="26"/>
        </w:rPr>
        <w:t>Thuế thu nhập cá nhân = thu nhập tính thuế x thuế suất</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Theo đó, để tính được số thuế phải nộp cần phải tính được thu nhập tính thuế và thuế suất, cụ thể:</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 Thu nhập tính thuế:</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rStyle w:val="Strong"/>
          <w:b w:val="0"/>
          <w:sz w:val="26"/>
          <w:szCs w:val="26"/>
        </w:rPr>
        <w:t>Thu nhập tính thuế = Thu nhập chịu thuế - Các khoản giảm trừ </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lastRenderedPageBreak/>
        <w:t>Trong đó,</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rStyle w:val="Strong"/>
          <w:b w:val="0"/>
          <w:sz w:val="26"/>
          <w:szCs w:val="26"/>
        </w:rPr>
        <w:t>Thu nhập chịu thuế = Tổng thu nhập - Các khoản được miễn </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Các khoản giảm trừ gồm giảm trừ cá nhân (15,5 triệu/tháng) và giảm trừ người phụ thuộc (6,2 triệu/tháng/người phụ thuộc), các khoản bảo hiểm bắt buộc.</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 Thuế suất tại Biểu thuế lũy tiến từng phần quy định tại Điều 9 </w:t>
      </w:r>
      <w:hyperlink r:id="rId8" w:tgtFrame="_blank" w:history="1">
        <w:r w:rsidRPr="00FE7E36">
          <w:rPr>
            <w:rStyle w:val="Hyperlink"/>
            <w:color w:val="auto"/>
            <w:sz w:val="26"/>
            <w:szCs w:val="26"/>
            <w:u w:val="none"/>
          </w:rPr>
          <w:t>Luật Thuế thu nhập cá nhân 2025</w:t>
        </w:r>
      </w:hyperlink>
      <w:r w:rsidRPr="00FE7E36">
        <w:rPr>
          <w:sz w:val="26"/>
          <w:szCs w:val="26"/>
        </w:rPr>
        <w:t>. Cụ thể: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5"/>
        <w:gridCol w:w="3153"/>
        <w:gridCol w:w="3311"/>
        <w:gridCol w:w="1576"/>
      </w:tblGrid>
      <w:tr w:rsidR="00FE7E36" w:rsidRPr="00FE7E36" w:rsidTr="00800356">
        <w:trPr>
          <w:trHeight w:val="735"/>
        </w:trPr>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rStyle w:val="Strong"/>
                <w:b w:val="0"/>
                <w:sz w:val="26"/>
                <w:szCs w:val="26"/>
              </w:rPr>
              <w:t>Bậc thuế</w:t>
            </w:r>
          </w:p>
        </w:tc>
        <w:tc>
          <w:tcPr>
            <w:tcW w:w="1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rStyle w:val="Strong"/>
                <w:b w:val="0"/>
                <w:sz w:val="26"/>
                <w:szCs w:val="26"/>
              </w:rPr>
              <w:t>Phần thu nhập tính thuế/năm</w:t>
            </w:r>
            <w:r w:rsidRPr="00FE7E36">
              <w:rPr>
                <w:bCs/>
                <w:sz w:val="26"/>
                <w:szCs w:val="26"/>
              </w:rPr>
              <w:br/>
            </w:r>
            <w:r w:rsidRPr="00FE7E36">
              <w:rPr>
                <w:rStyle w:val="Strong"/>
                <w:b w:val="0"/>
                <w:sz w:val="26"/>
                <w:szCs w:val="26"/>
              </w:rPr>
              <w:t>(triệu đồng)</w:t>
            </w:r>
          </w:p>
        </w:tc>
        <w:tc>
          <w:tcPr>
            <w:tcW w:w="182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rStyle w:val="Strong"/>
                <w:b w:val="0"/>
                <w:sz w:val="26"/>
                <w:szCs w:val="26"/>
              </w:rPr>
              <w:t>Phần thu nhập tính thuế/tháng</w:t>
            </w:r>
            <w:r w:rsidRPr="00FE7E36">
              <w:rPr>
                <w:bCs/>
                <w:sz w:val="26"/>
                <w:szCs w:val="26"/>
              </w:rPr>
              <w:br/>
            </w:r>
            <w:r w:rsidRPr="00FE7E36">
              <w:rPr>
                <w:rStyle w:val="Strong"/>
                <w:b w:val="0"/>
                <w:sz w:val="26"/>
                <w:szCs w:val="26"/>
              </w:rPr>
              <w:t>(triệu đồng)</w:t>
            </w:r>
          </w:p>
        </w:tc>
        <w:tc>
          <w:tcPr>
            <w:tcW w:w="8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rStyle w:val="Strong"/>
                <w:b w:val="0"/>
                <w:sz w:val="26"/>
                <w:szCs w:val="26"/>
              </w:rPr>
              <w:t>Thuế suất (%)</w:t>
            </w:r>
          </w:p>
        </w:tc>
      </w:tr>
      <w:tr w:rsidR="00FE7E36" w:rsidRPr="00FE7E36" w:rsidTr="00800356">
        <w:trPr>
          <w:trHeight w:val="495"/>
        </w:trPr>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1</w:t>
            </w:r>
          </w:p>
        </w:tc>
        <w:tc>
          <w:tcPr>
            <w:tcW w:w="1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Đến 120</w:t>
            </w:r>
          </w:p>
        </w:tc>
        <w:tc>
          <w:tcPr>
            <w:tcW w:w="182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Đến 10</w:t>
            </w:r>
          </w:p>
        </w:tc>
        <w:tc>
          <w:tcPr>
            <w:tcW w:w="8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5</w:t>
            </w:r>
          </w:p>
        </w:tc>
      </w:tr>
      <w:tr w:rsidR="00FE7E36" w:rsidRPr="00FE7E36" w:rsidTr="00800356">
        <w:trPr>
          <w:trHeight w:val="495"/>
        </w:trPr>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2</w:t>
            </w:r>
          </w:p>
        </w:tc>
        <w:tc>
          <w:tcPr>
            <w:tcW w:w="1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120 đến 360</w:t>
            </w:r>
          </w:p>
        </w:tc>
        <w:tc>
          <w:tcPr>
            <w:tcW w:w="182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10 đến 30</w:t>
            </w:r>
          </w:p>
        </w:tc>
        <w:tc>
          <w:tcPr>
            <w:tcW w:w="8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10</w:t>
            </w:r>
          </w:p>
        </w:tc>
      </w:tr>
      <w:tr w:rsidR="00FE7E36" w:rsidRPr="00FE7E36" w:rsidTr="00800356">
        <w:trPr>
          <w:trHeight w:val="495"/>
        </w:trPr>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3</w:t>
            </w:r>
          </w:p>
        </w:tc>
        <w:tc>
          <w:tcPr>
            <w:tcW w:w="1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360 đến 720</w:t>
            </w:r>
          </w:p>
        </w:tc>
        <w:tc>
          <w:tcPr>
            <w:tcW w:w="182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30 đến 60</w:t>
            </w:r>
          </w:p>
        </w:tc>
        <w:tc>
          <w:tcPr>
            <w:tcW w:w="8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20</w:t>
            </w:r>
          </w:p>
        </w:tc>
      </w:tr>
      <w:tr w:rsidR="00FE7E36" w:rsidRPr="00FE7E36" w:rsidTr="00800356">
        <w:trPr>
          <w:trHeight w:val="495"/>
        </w:trPr>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4</w:t>
            </w:r>
          </w:p>
        </w:tc>
        <w:tc>
          <w:tcPr>
            <w:tcW w:w="1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720 đến 1.200</w:t>
            </w:r>
          </w:p>
        </w:tc>
        <w:tc>
          <w:tcPr>
            <w:tcW w:w="182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60 đến 100</w:t>
            </w:r>
          </w:p>
        </w:tc>
        <w:tc>
          <w:tcPr>
            <w:tcW w:w="8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30</w:t>
            </w:r>
          </w:p>
        </w:tc>
      </w:tr>
      <w:tr w:rsidR="00FE7E36" w:rsidRPr="00FE7E36" w:rsidTr="00800356">
        <w:trPr>
          <w:trHeight w:val="495"/>
        </w:trPr>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5</w:t>
            </w:r>
          </w:p>
        </w:tc>
        <w:tc>
          <w:tcPr>
            <w:tcW w:w="174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1.200</w:t>
            </w:r>
          </w:p>
        </w:tc>
        <w:tc>
          <w:tcPr>
            <w:tcW w:w="182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Trên 100</w:t>
            </w:r>
          </w:p>
        </w:tc>
        <w:tc>
          <w:tcPr>
            <w:tcW w:w="8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A9D" w:rsidRPr="00FE7E36" w:rsidRDefault="004E5A9D" w:rsidP="00FD1D8C">
            <w:pPr>
              <w:pStyle w:val="NormalWeb"/>
              <w:spacing w:before="0" w:beforeAutospacing="0" w:after="0" w:afterAutospacing="0" w:line="312" w:lineRule="auto"/>
              <w:jc w:val="center"/>
              <w:rPr>
                <w:sz w:val="26"/>
                <w:szCs w:val="26"/>
              </w:rPr>
            </w:pPr>
            <w:r w:rsidRPr="00FE7E36">
              <w:rPr>
                <w:sz w:val="26"/>
                <w:szCs w:val="26"/>
              </w:rPr>
              <w:t>35</w:t>
            </w:r>
          </w:p>
        </w:tc>
      </w:tr>
    </w:tbl>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 Thời điểm xác định thu nhập tính thuế từ tiền lương, tiền công là thời điểm tổ chức, cá nhân trả thu nhập cho người nộp thuế hoặc thời điểm người nộp thuế nhận được thu nhập.</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rStyle w:val="Emphasis"/>
          <w:bCs/>
          <w:sz w:val="26"/>
          <w:szCs w:val="26"/>
        </w:rPr>
        <w:t>(2) Đối với cá nhân không cư trú</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Thuế thu nhập cá nhân đối với thu nhập từ tiền lương, tiền công của cá nhân không cư trú được xác định bằng tổng số tiền lương, tiền công mà cá nhân không cư trú nhận được do thực hiện công việc tại Việt Nam nhân (x) với thuế suất 20%, không phân biệt nơi trả thu nhập.</w:t>
      </w:r>
    </w:p>
    <w:p w:rsidR="004E5A9D" w:rsidRPr="00FE7E36" w:rsidRDefault="004E5A9D" w:rsidP="00BA0957">
      <w:pPr>
        <w:pStyle w:val="NormalWeb"/>
        <w:shd w:val="clear" w:color="auto" w:fill="FFFFFF"/>
        <w:spacing w:before="0" w:beforeAutospacing="0" w:after="0" w:afterAutospacing="0" w:line="312" w:lineRule="auto"/>
        <w:ind w:left="720" w:firstLine="720"/>
        <w:jc w:val="both"/>
        <w:rPr>
          <w:sz w:val="26"/>
          <w:szCs w:val="26"/>
        </w:rPr>
      </w:pPr>
      <w:r w:rsidRPr="00FE7E36">
        <w:rPr>
          <w:rStyle w:val="Strong"/>
          <w:sz w:val="26"/>
          <w:szCs w:val="26"/>
        </w:rPr>
        <w:t>Thuế thu nhập cá nhân = tổng số tiền lương, tiền công x 20%</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Theo Điều 10 </w:t>
      </w:r>
      <w:hyperlink r:id="rId9" w:tgtFrame="_blank" w:history="1">
        <w:r w:rsidRPr="00FE7E36">
          <w:rPr>
            <w:rStyle w:val="Hyperlink"/>
            <w:color w:val="auto"/>
            <w:sz w:val="26"/>
            <w:szCs w:val="26"/>
            <w:u w:val="none"/>
          </w:rPr>
          <w:t>Luật Thuế thu nhập cá nhân 2025</w:t>
        </w:r>
      </w:hyperlink>
      <w:r w:rsidRPr="00FE7E36">
        <w:rPr>
          <w:sz w:val="26"/>
          <w:szCs w:val="26"/>
        </w:rPr>
        <w:t> và </w:t>
      </w:r>
      <w:r w:rsidR="006660CB">
        <w:rPr>
          <w:sz w:val="26"/>
          <w:szCs w:val="26"/>
        </w:rPr>
        <w:t xml:space="preserve"> </w:t>
      </w:r>
      <w:hyperlink r:id="rId10" w:tgtFrame="_blank" w:history="1">
        <w:r w:rsidRPr="00FE7E36">
          <w:rPr>
            <w:rStyle w:val="Hyperlink"/>
            <w:color w:val="auto"/>
            <w:sz w:val="26"/>
            <w:szCs w:val="26"/>
            <w:u w:val="none"/>
          </w:rPr>
          <w:t>Nghị quyết 110/2025/UBTVQH15</w:t>
        </w:r>
      </w:hyperlink>
      <w:r w:rsidRPr="00FE7E36">
        <w:rPr>
          <w:sz w:val="26"/>
          <w:szCs w:val="26"/>
        </w:rPr>
        <w:t> quy định về giảm trừ gia cảnh như sau:</w:t>
      </w:r>
    </w:p>
    <w:p w:rsidR="004E5A9D" w:rsidRPr="00FE7E36" w:rsidRDefault="004E5A9D" w:rsidP="00C11DD7">
      <w:pPr>
        <w:pStyle w:val="NormalWeb"/>
        <w:shd w:val="clear" w:color="auto" w:fill="FFFFFF"/>
        <w:spacing w:before="0" w:beforeAutospacing="0" w:after="0" w:afterAutospacing="0" w:line="312" w:lineRule="auto"/>
        <w:jc w:val="both"/>
        <w:rPr>
          <w:sz w:val="26"/>
          <w:szCs w:val="26"/>
        </w:rPr>
      </w:pPr>
      <w:r w:rsidRPr="00FE7E36">
        <w:rPr>
          <w:sz w:val="26"/>
          <w:szCs w:val="26"/>
        </w:rPr>
        <w:t>Theo đó, mức giảm trừ đối với đối tượng nộp thuế là 15,5 triệu đồng/tháng (186 triệu đồng/năm); mức giảm trừ đối với mỗi người phụ thuộc là 6,2 triệu đồng/tháng.</w:t>
      </w:r>
      <w:r w:rsidRPr="00FE7E36">
        <w:rPr>
          <w:sz w:val="26"/>
          <w:szCs w:val="26"/>
        </w:rPr>
        <w:br/>
        <w:t>Như vậy, căn cứ quy định nêu trên, cá nhân không có người phụ thuộc khi có tổng thu nhập từ tiền lương, tiền công là 15,5 triệu đồng/tháng (186 triệu đồng/năm) thì phải nộp thuế thu nhập cá nhân.</w:t>
      </w:r>
    </w:p>
    <w:p w:rsidR="00CF0FDC" w:rsidRPr="00CF0FDC" w:rsidRDefault="00CF0FDC" w:rsidP="00C11DD7">
      <w:pPr>
        <w:shd w:val="clear" w:color="auto" w:fill="FFFFFF"/>
        <w:spacing w:after="0" w:line="312" w:lineRule="auto"/>
        <w:jc w:val="both"/>
        <w:rPr>
          <w:rFonts w:ascii="Times New Roman" w:eastAsia="Times New Roman" w:hAnsi="Times New Roman" w:cs="Times New Roman"/>
          <w:kern w:val="0"/>
          <w:sz w:val="26"/>
          <w:szCs w:val="26"/>
          <w14:ligatures w14:val="none"/>
        </w:rPr>
      </w:pPr>
      <w:r w:rsidRPr="00FE7E36">
        <w:rPr>
          <w:rFonts w:ascii="Times New Roman" w:eastAsia="Times New Roman" w:hAnsi="Times New Roman" w:cs="Times New Roman"/>
          <w:bCs/>
          <w:kern w:val="0"/>
          <w:sz w:val="26"/>
          <w:szCs w:val="26"/>
          <w14:ligatures w14:val="none"/>
        </w:rPr>
        <w:t>Lưu ý: </w:t>
      </w:r>
      <w:r w:rsidRPr="00CF0FDC">
        <w:rPr>
          <w:rFonts w:ascii="Times New Roman" w:eastAsia="Times New Roman" w:hAnsi="Times New Roman" w:cs="Times New Roman"/>
          <w:kern w:val="0"/>
          <w:sz w:val="26"/>
          <w:szCs w:val="26"/>
          <w14:ligatures w14:val="none"/>
        </w:rPr>
        <w:t>Thu nhập trên là thu nhập từ tiền lương, tiền công đã trừ các khoản sau:</w:t>
      </w:r>
    </w:p>
    <w:p w:rsidR="00CF0FDC" w:rsidRPr="00CF0FDC" w:rsidRDefault="00CF0FDC" w:rsidP="00C11DD7">
      <w:pPr>
        <w:shd w:val="clear" w:color="auto" w:fill="FFFFFF"/>
        <w:spacing w:after="0" w:line="312" w:lineRule="auto"/>
        <w:jc w:val="both"/>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 Các khoản đóng bảo hiểm, quỹ hưu trí tự nguyện, đóng góp từ thiện, khuyến học, nhân đạo.</w:t>
      </w:r>
    </w:p>
    <w:p w:rsidR="00CF0FDC" w:rsidRPr="00CF0FDC" w:rsidRDefault="00CF0FDC" w:rsidP="00C11DD7">
      <w:pPr>
        <w:shd w:val="clear" w:color="auto" w:fill="FFFFFF"/>
        <w:spacing w:after="0" w:line="312" w:lineRule="auto"/>
        <w:jc w:val="both"/>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 Thu nhập được miễn thuế thu nhập cá nhân.</w:t>
      </w:r>
    </w:p>
    <w:p w:rsidR="00CF0FDC" w:rsidRPr="00CF0FDC" w:rsidRDefault="00CF0FDC" w:rsidP="00C11DD7">
      <w:pPr>
        <w:shd w:val="clear" w:color="auto" w:fill="FFFFFF"/>
        <w:spacing w:after="0" w:line="312" w:lineRule="auto"/>
        <w:jc w:val="both"/>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 Các khoản thu nhập không tính thuế như một số khoản phụ cấp, trợ cấp, tiền ăn trưa,…</w:t>
      </w:r>
    </w:p>
    <w:p w:rsidR="00CF0FDC" w:rsidRPr="00CF0FDC" w:rsidRDefault="00CF0FDC" w:rsidP="00C11DD7">
      <w:pPr>
        <w:shd w:val="clear" w:color="auto" w:fill="FFFFFF"/>
        <w:spacing w:after="0" w:line="312" w:lineRule="auto"/>
        <w:jc w:val="both"/>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lastRenderedPageBreak/>
        <w:t>Đối với các cá nhân có người phụ thuộc sẽ được giảm trừ đối với mỗi người phụ thuộc là 6,2 triệu đồng/tháng.</w:t>
      </w:r>
    </w:p>
    <w:p w:rsidR="00CF0FDC" w:rsidRPr="00CF0FDC" w:rsidRDefault="00CF0FDC" w:rsidP="00C11DD7">
      <w:pPr>
        <w:shd w:val="clear" w:color="auto" w:fill="FFFFFF"/>
        <w:spacing w:after="0" w:line="312" w:lineRule="auto"/>
        <w:jc w:val="both"/>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Dưới đây là bảng mức lương phải đóng thuế thu nhập cá nhân tương ứng với số lượng người phụ thuộc mà người nộp thuế có thể tham khảo:</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99"/>
        <w:gridCol w:w="6056"/>
      </w:tblGrid>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b/>
                <w:kern w:val="0"/>
                <w:sz w:val="26"/>
                <w:szCs w:val="26"/>
                <w14:ligatures w14:val="none"/>
              </w:rPr>
            </w:pPr>
            <w:r w:rsidRPr="00FE7E36">
              <w:rPr>
                <w:rFonts w:ascii="Times New Roman" w:eastAsia="Times New Roman" w:hAnsi="Times New Roman" w:cs="Times New Roman"/>
                <w:b/>
                <w:bCs/>
                <w:kern w:val="0"/>
                <w:sz w:val="26"/>
                <w:szCs w:val="26"/>
                <w14:ligatures w14:val="none"/>
              </w:rPr>
              <w:t>Số người phụ thuộc</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b/>
                <w:kern w:val="0"/>
                <w:sz w:val="26"/>
                <w:szCs w:val="26"/>
                <w14:ligatures w14:val="none"/>
              </w:rPr>
            </w:pPr>
            <w:r w:rsidRPr="00FE7E36">
              <w:rPr>
                <w:rFonts w:ascii="Times New Roman" w:eastAsia="Times New Roman" w:hAnsi="Times New Roman" w:cs="Times New Roman"/>
                <w:b/>
                <w:bCs/>
                <w:kern w:val="0"/>
                <w:sz w:val="26"/>
                <w:szCs w:val="26"/>
                <w14:ligatures w14:val="none"/>
              </w:rPr>
              <w:t>Mức lương phải đóng thuế TNCN</w:t>
            </w:r>
          </w:p>
        </w:tc>
      </w:tr>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0</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từ 15,5 triệu đồng/tháng</w:t>
            </w:r>
          </w:p>
        </w:tc>
      </w:tr>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1</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từ 21,7 triệu đồng/tháng</w:t>
            </w:r>
          </w:p>
        </w:tc>
      </w:tr>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2</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từ 27,9 triệu đồng/tháng</w:t>
            </w:r>
          </w:p>
        </w:tc>
      </w:tr>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3</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từ 34,1 triệu đồng/ tháng</w:t>
            </w:r>
          </w:p>
        </w:tc>
      </w:tr>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4</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từ 40,3 triệu đồng/ tháng</w:t>
            </w:r>
          </w:p>
        </w:tc>
      </w:tr>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5</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từ 46,8 triệu đồng/ tháng</w:t>
            </w:r>
          </w:p>
        </w:tc>
      </w:tr>
      <w:tr w:rsidR="00FE7E36" w:rsidRPr="00FE7E36" w:rsidTr="00DF4A03">
        <w:trPr>
          <w:trHeight w:val="360"/>
        </w:trPr>
        <w:tc>
          <w:tcPr>
            <w:tcW w:w="16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n</w:t>
            </w:r>
          </w:p>
        </w:tc>
        <w:tc>
          <w:tcPr>
            <w:tcW w:w="334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F0FDC" w:rsidRPr="00CF0FDC" w:rsidRDefault="00CF0FDC" w:rsidP="00FD1D8C">
            <w:pPr>
              <w:spacing w:after="0" w:line="312" w:lineRule="auto"/>
              <w:jc w:val="center"/>
              <w:rPr>
                <w:rFonts w:ascii="Times New Roman" w:eastAsia="Times New Roman" w:hAnsi="Times New Roman" w:cs="Times New Roman"/>
                <w:kern w:val="0"/>
                <w:sz w:val="26"/>
                <w:szCs w:val="26"/>
                <w14:ligatures w14:val="none"/>
              </w:rPr>
            </w:pPr>
            <w:r w:rsidRPr="00CF0FDC">
              <w:rPr>
                <w:rFonts w:ascii="Times New Roman" w:eastAsia="Times New Roman" w:hAnsi="Times New Roman" w:cs="Times New Roman"/>
                <w:kern w:val="0"/>
                <w:sz w:val="26"/>
                <w:szCs w:val="26"/>
                <w14:ligatures w14:val="none"/>
              </w:rPr>
              <w:t>từ 15,5 triệu đồng + (n x 6,2 triệu đồng)</w:t>
            </w:r>
          </w:p>
        </w:tc>
      </w:tr>
    </w:tbl>
    <w:p w:rsidR="00514161" w:rsidRPr="00FD1D8C" w:rsidRDefault="00FE7E36" w:rsidP="00FD1D8C">
      <w:pPr>
        <w:spacing w:after="0" w:line="312" w:lineRule="auto"/>
        <w:rPr>
          <w:rFonts w:ascii="Times New Roman" w:hAnsi="Times New Roman" w:cs="Times New Roman"/>
          <w:b/>
          <w:sz w:val="26"/>
          <w:szCs w:val="26"/>
        </w:rPr>
      </w:pPr>
      <w:r w:rsidRPr="00FD1D8C">
        <w:rPr>
          <w:rFonts w:ascii="Times New Roman" w:hAnsi="Times New Roman" w:cs="Times New Roman"/>
          <w:b/>
          <w:sz w:val="26"/>
          <w:szCs w:val="26"/>
        </w:rPr>
        <w:t xml:space="preserve"> Tài liệu tham khảo:</w:t>
      </w:r>
    </w:p>
    <w:p w:rsidR="006D62EB" w:rsidRPr="002D36BC" w:rsidRDefault="002D36BC" w:rsidP="00FD1D8C">
      <w:pPr>
        <w:spacing w:after="0" w:line="312" w:lineRule="auto"/>
        <w:jc w:val="both"/>
        <w:rPr>
          <w:rStyle w:val="Strong"/>
          <w:rFonts w:ascii="Times New Roman" w:hAnsi="Times New Roman" w:cs="Times New Roman"/>
          <w:b w:val="0"/>
          <w:sz w:val="26"/>
          <w:szCs w:val="26"/>
        </w:rPr>
      </w:pPr>
      <w:r>
        <w:rPr>
          <w:rFonts w:ascii="Times New Roman" w:hAnsi="Times New Roman" w:cs="Times New Roman"/>
          <w:sz w:val="26"/>
          <w:szCs w:val="26"/>
        </w:rPr>
        <w:t xml:space="preserve">1. </w:t>
      </w:r>
      <w:r w:rsidR="006D62EB" w:rsidRPr="002D36BC">
        <w:rPr>
          <w:rFonts w:ascii="Times New Roman" w:hAnsi="Times New Roman" w:cs="Times New Roman"/>
          <w:sz w:val="26"/>
          <w:szCs w:val="26"/>
        </w:rPr>
        <w:t xml:space="preserve">Quyết định số </w:t>
      </w:r>
      <w:r w:rsidR="006D62EB" w:rsidRPr="002D36BC">
        <w:rPr>
          <w:rStyle w:val="Strong"/>
          <w:rFonts w:ascii="Times New Roman" w:hAnsi="Times New Roman" w:cs="Times New Roman"/>
          <w:b w:val="0"/>
          <w:sz w:val="26"/>
          <w:szCs w:val="26"/>
        </w:rPr>
        <w:t>3389/QĐ-BTC ngày 27/11/2025</w:t>
      </w:r>
      <w:r w:rsidR="006D62EB" w:rsidRPr="002D36BC">
        <w:rPr>
          <w:rFonts w:ascii="Times New Roman" w:hAnsi="Times New Roman" w:cs="Times New Roman"/>
          <w:sz w:val="26"/>
          <w:szCs w:val="26"/>
        </w:rPr>
        <w:t xml:space="preserve"> của Bộ Tài chính </w:t>
      </w:r>
      <w:r w:rsidR="006D62EB" w:rsidRPr="002D36BC">
        <w:rPr>
          <w:rStyle w:val="Strong"/>
          <w:rFonts w:ascii="Times New Roman" w:hAnsi="Times New Roman" w:cs="Times New Roman"/>
          <w:b w:val="0"/>
          <w:sz w:val="26"/>
          <w:szCs w:val="26"/>
        </w:rPr>
        <w:t>phê duyệt Đề án “Chuyển đổi mô hình và phương pháp quản lý thuế đối với hộ kinh doanh khi xóa bỏ thuế khoán</w:t>
      </w:r>
    </w:p>
    <w:p w:rsidR="006D62EB" w:rsidRPr="002D36BC" w:rsidRDefault="002D36BC" w:rsidP="00FD1D8C">
      <w:pPr>
        <w:spacing w:after="0" w:line="312" w:lineRule="auto"/>
        <w:jc w:val="both"/>
        <w:rPr>
          <w:rFonts w:ascii="Times New Roman" w:hAnsi="Times New Roman" w:cs="Times New Roman"/>
          <w:sz w:val="26"/>
          <w:szCs w:val="26"/>
        </w:rPr>
      </w:pPr>
      <w:r>
        <w:rPr>
          <w:rStyle w:val="Strong"/>
          <w:rFonts w:ascii="Times New Roman" w:hAnsi="Times New Roman" w:cs="Times New Roman"/>
          <w:b w:val="0"/>
          <w:sz w:val="26"/>
          <w:szCs w:val="26"/>
        </w:rPr>
        <w:t xml:space="preserve">2. </w:t>
      </w:r>
      <w:r w:rsidR="006D62EB" w:rsidRPr="002D36BC">
        <w:rPr>
          <w:rStyle w:val="Strong"/>
          <w:rFonts w:ascii="Times New Roman" w:hAnsi="Times New Roman" w:cs="Times New Roman"/>
          <w:b w:val="0"/>
          <w:sz w:val="26"/>
          <w:szCs w:val="26"/>
        </w:rPr>
        <w:t>Nghị quyết số 110/2025/UBTVQH15 ngày 17/10/2025</w:t>
      </w:r>
      <w:r w:rsidR="006D62EB" w:rsidRPr="002D36BC">
        <w:rPr>
          <w:rFonts w:ascii="Times New Roman" w:hAnsi="Times New Roman" w:cs="Times New Roman"/>
          <w:sz w:val="26"/>
          <w:szCs w:val="26"/>
        </w:rPr>
        <w:t xml:space="preserve"> về </w:t>
      </w:r>
      <w:r w:rsidR="006D62EB" w:rsidRPr="002D36BC">
        <w:rPr>
          <w:rStyle w:val="Strong"/>
          <w:rFonts w:ascii="Times New Roman" w:hAnsi="Times New Roman" w:cs="Times New Roman"/>
          <w:b w:val="0"/>
          <w:sz w:val="26"/>
          <w:szCs w:val="26"/>
        </w:rPr>
        <w:t>điều chỉnh mức giảm trừ gia cảnh trong thuế thu nhập cá nhân</w:t>
      </w:r>
      <w:r w:rsidR="006D62EB" w:rsidRPr="002D36BC">
        <w:rPr>
          <w:rFonts w:ascii="Times New Roman" w:hAnsi="Times New Roman" w:cs="Times New Roman"/>
          <w:sz w:val="26"/>
          <w:szCs w:val="26"/>
        </w:rPr>
        <w:t xml:space="preserve"> áp dụng từ kỳ tính thuế 2026</w:t>
      </w:r>
      <w:r w:rsidR="00A42EDA" w:rsidRPr="002D36BC">
        <w:rPr>
          <w:rFonts w:ascii="Times New Roman" w:hAnsi="Times New Roman" w:cs="Times New Roman"/>
          <w:sz w:val="26"/>
          <w:szCs w:val="26"/>
        </w:rPr>
        <w:t>.</w:t>
      </w:r>
    </w:p>
    <w:p w:rsidR="00A42EDA" w:rsidRPr="002D36BC" w:rsidRDefault="002D36BC" w:rsidP="00FD1D8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A42EDA" w:rsidRPr="002D36BC">
        <w:rPr>
          <w:rFonts w:ascii="Times New Roman" w:hAnsi="Times New Roman" w:cs="Times New Roman"/>
          <w:sz w:val="26"/>
          <w:szCs w:val="26"/>
        </w:rPr>
        <w:t xml:space="preserve">Luật Thuế thu nhập cá nhân </w:t>
      </w:r>
      <w:r w:rsidR="00A42EDA" w:rsidRPr="002D36BC">
        <w:rPr>
          <w:rStyle w:val="Strong"/>
          <w:rFonts w:ascii="Times New Roman" w:hAnsi="Times New Roman" w:cs="Times New Roman"/>
          <w:b w:val="0"/>
          <w:sz w:val="26"/>
          <w:szCs w:val="26"/>
        </w:rPr>
        <w:t>số 109/2025/QH15, ngày 10/12/2025</w:t>
      </w:r>
      <w:r w:rsidR="00A42EDA" w:rsidRPr="002D36BC">
        <w:rPr>
          <w:rFonts w:ascii="Times New Roman" w:hAnsi="Times New Roman" w:cs="Times New Roman"/>
          <w:sz w:val="26"/>
          <w:szCs w:val="26"/>
        </w:rPr>
        <w:t xml:space="preserve">, do </w:t>
      </w:r>
      <w:r w:rsidR="00A42EDA" w:rsidRPr="002D36BC">
        <w:rPr>
          <w:rStyle w:val="Strong"/>
          <w:rFonts w:ascii="Times New Roman" w:hAnsi="Times New Roman" w:cs="Times New Roman"/>
          <w:b w:val="0"/>
          <w:sz w:val="26"/>
          <w:szCs w:val="26"/>
        </w:rPr>
        <w:t>Quốc hội nước Cộng hòa Xã hội Chủ nghĩa Việt Nam ban hành</w:t>
      </w:r>
      <w:r w:rsidR="00A42EDA" w:rsidRPr="002D36BC">
        <w:rPr>
          <w:rFonts w:ascii="Times New Roman" w:hAnsi="Times New Roman" w:cs="Times New Roman"/>
          <w:sz w:val="26"/>
          <w:szCs w:val="26"/>
        </w:rPr>
        <w:t xml:space="preserve">, quy định thuế thu nhập cá nhân và có hiệu lực thi hành từ </w:t>
      </w:r>
      <w:r w:rsidR="00A42EDA" w:rsidRPr="002D36BC">
        <w:rPr>
          <w:rStyle w:val="Strong"/>
          <w:rFonts w:ascii="Times New Roman" w:hAnsi="Times New Roman" w:cs="Times New Roman"/>
          <w:b w:val="0"/>
          <w:sz w:val="26"/>
          <w:szCs w:val="26"/>
        </w:rPr>
        <w:t>01/07/2026</w:t>
      </w:r>
      <w:r w:rsidR="00A42EDA" w:rsidRPr="002D36BC">
        <w:rPr>
          <w:rFonts w:ascii="Times New Roman" w:hAnsi="Times New Roman" w:cs="Times New Roman"/>
          <w:sz w:val="26"/>
          <w:szCs w:val="26"/>
        </w:rPr>
        <w:t xml:space="preserve">. </w:t>
      </w:r>
    </w:p>
    <w:p w:rsidR="000A19D7" w:rsidRPr="002D36BC" w:rsidRDefault="002D36BC" w:rsidP="00FD1D8C">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0A19D7" w:rsidRPr="002D36BC">
        <w:rPr>
          <w:rFonts w:ascii="Times New Roman" w:hAnsi="Times New Roman" w:cs="Times New Roman"/>
          <w:sz w:val="26"/>
          <w:szCs w:val="26"/>
        </w:rPr>
        <w:t xml:space="preserve">Nghị quyết số </w:t>
      </w:r>
      <w:r w:rsidR="000A19D7" w:rsidRPr="002D36BC">
        <w:rPr>
          <w:rStyle w:val="Strong"/>
          <w:rFonts w:ascii="Times New Roman" w:hAnsi="Times New Roman" w:cs="Times New Roman"/>
          <w:b w:val="0"/>
          <w:sz w:val="26"/>
          <w:szCs w:val="26"/>
        </w:rPr>
        <w:t>198/2025/QH15 ngày 17/05/2025</w:t>
      </w:r>
      <w:r w:rsidR="000A19D7" w:rsidRPr="002D36BC">
        <w:rPr>
          <w:rFonts w:ascii="Times New Roman" w:hAnsi="Times New Roman" w:cs="Times New Roman"/>
          <w:sz w:val="26"/>
          <w:szCs w:val="26"/>
        </w:rPr>
        <w:t xml:space="preserve"> của </w:t>
      </w:r>
      <w:r w:rsidR="000A19D7" w:rsidRPr="002D36BC">
        <w:rPr>
          <w:rStyle w:val="Strong"/>
          <w:rFonts w:ascii="Times New Roman" w:hAnsi="Times New Roman" w:cs="Times New Roman"/>
          <w:b w:val="0"/>
          <w:sz w:val="26"/>
          <w:szCs w:val="26"/>
        </w:rPr>
        <w:t>Quốc hội nước Cộng hòa Xã hội Chủ nghĩa Việt Nam</w:t>
      </w:r>
      <w:r w:rsidR="000A19D7" w:rsidRPr="002D36BC">
        <w:rPr>
          <w:rFonts w:ascii="Times New Roman" w:hAnsi="Times New Roman" w:cs="Times New Roman"/>
          <w:sz w:val="26"/>
          <w:szCs w:val="26"/>
        </w:rPr>
        <w:t xml:space="preserve"> về </w:t>
      </w:r>
      <w:r w:rsidR="000A19D7" w:rsidRPr="002D36BC">
        <w:rPr>
          <w:rStyle w:val="Strong"/>
          <w:rFonts w:ascii="Times New Roman" w:hAnsi="Times New Roman" w:cs="Times New Roman"/>
          <w:b w:val="0"/>
          <w:sz w:val="26"/>
          <w:szCs w:val="26"/>
        </w:rPr>
        <w:t>một số cơ chế, chính sách đặc biệt phát triển kinh tế tư nhân</w:t>
      </w:r>
      <w:r w:rsidR="000A19D7" w:rsidRPr="002D36BC">
        <w:rPr>
          <w:rFonts w:ascii="Times New Roman" w:hAnsi="Times New Roman" w:cs="Times New Roman"/>
          <w:sz w:val="26"/>
          <w:szCs w:val="26"/>
        </w:rPr>
        <w:t>.</w:t>
      </w:r>
    </w:p>
    <w:sectPr w:rsidR="000A19D7" w:rsidRPr="002D36BC" w:rsidSect="0076151B">
      <w:pgSz w:w="11906" w:h="16838"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6FAC"/>
    <w:multiLevelType w:val="hybridMultilevel"/>
    <w:tmpl w:val="81C0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0B"/>
    <w:rsid w:val="000373BC"/>
    <w:rsid w:val="00037D2B"/>
    <w:rsid w:val="00057881"/>
    <w:rsid w:val="000730EA"/>
    <w:rsid w:val="0008740B"/>
    <w:rsid w:val="000A19D7"/>
    <w:rsid w:val="00153663"/>
    <w:rsid w:val="002548E5"/>
    <w:rsid w:val="002D36BC"/>
    <w:rsid w:val="00391204"/>
    <w:rsid w:val="00493A0B"/>
    <w:rsid w:val="004973F8"/>
    <w:rsid w:val="004E5A9D"/>
    <w:rsid w:val="0050689B"/>
    <w:rsid w:val="00514161"/>
    <w:rsid w:val="005A3A13"/>
    <w:rsid w:val="005B59E9"/>
    <w:rsid w:val="006434D5"/>
    <w:rsid w:val="006660CB"/>
    <w:rsid w:val="006C5206"/>
    <w:rsid w:val="006D62EB"/>
    <w:rsid w:val="0076151B"/>
    <w:rsid w:val="007A73CC"/>
    <w:rsid w:val="00800356"/>
    <w:rsid w:val="008156C6"/>
    <w:rsid w:val="009729F6"/>
    <w:rsid w:val="00A306E3"/>
    <w:rsid w:val="00A42EDA"/>
    <w:rsid w:val="00A46822"/>
    <w:rsid w:val="00BA0957"/>
    <w:rsid w:val="00BD1591"/>
    <w:rsid w:val="00BD4287"/>
    <w:rsid w:val="00BD79D2"/>
    <w:rsid w:val="00C11DD7"/>
    <w:rsid w:val="00C30D2A"/>
    <w:rsid w:val="00C84A89"/>
    <w:rsid w:val="00CE726A"/>
    <w:rsid w:val="00CF0FDC"/>
    <w:rsid w:val="00D403DC"/>
    <w:rsid w:val="00D45114"/>
    <w:rsid w:val="00D75D45"/>
    <w:rsid w:val="00DF4A03"/>
    <w:rsid w:val="00FD1D8C"/>
    <w:rsid w:val="00FD50C7"/>
    <w:rsid w:val="00FE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AD36"/>
  <w15:chartTrackingRefBased/>
  <w15:docId w15:val="{D04612C5-EA8A-4FFC-BAC3-737772E1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0D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1416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4D5"/>
    <w:rPr>
      <w:color w:val="0563C1" w:themeColor="hyperlink"/>
      <w:u w:val="single"/>
    </w:rPr>
  </w:style>
  <w:style w:type="character" w:customStyle="1" w:styleId="Heading2Char">
    <w:name w:val="Heading 2 Char"/>
    <w:basedOn w:val="DefaultParagraphFont"/>
    <w:link w:val="Heading2"/>
    <w:uiPriority w:val="9"/>
    <w:rsid w:val="00514161"/>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514161"/>
    <w:rPr>
      <w:b/>
      <w:bCs/>
    </w:rPr>
  </w:style>
  <w:style w:type="paragraph" w:styleId="NormalWeb">
    <w:name w:val="Normal (Web)"/>
    <w:basedOn w:val="Normal"/>
    <w:uiPriority w:val="99"/>
    <w:semiHidden/>
    <w:unhideWhenUsed/>
    <w:rsid w:val="005141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14161"/>
    <w:rPr>
      <w:i/>
      <w:iCs/>
    </w:rPr>
  </w:style>
  <w:style w:type="character" w:customStyle="1" w:styleId="Heading1Char">
    <w:name w:val="Heading 1 Char"/>
    <w:basedOn w:val="DefaultParagraphFont"/>
    <w:link w:val="Heading1"/>
    <w:uiPriority w:val="9"/>
    <w:rsid w:val="00C30D2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D1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9132">
      <w:bodyDiv w:val="1"/>
      <w:marLeft w:val="0"/>
      <w:marRight w:val="0"/>
      <w:marTop w:val="0"/>
      <w:marBottom w:val="0"/>
      <w:divBdr>
        <w:top w:val="none" w:sz="0" w:space="0" w:color="auto"/>
        <w:left w:val="none" w:sz="0" w:space="0" w:color="auto"/>
        <w:bottom w:val="none" w:sz="0" w:space="0" w:color="auto"/>
        <w:right w:val="none" w:sz="0" w:space="0" w:color="auto"/>
      </w:divBdr>
    </w:div>
    <w:div w:id="382870735">
      <w:bodyDiv w:val="1"/>
      <w:marLeft w:val="0"/>
      <w:marRight w:val="0"/>
      <w:marTop w:val="0"/>
      <w:marBottom w:val="0"/>
      <w:divBdr>
        <w:top w:val="none" w:sz="0" w:space="0" w:color="auto"/>
        <w:left w:val="none" w:sz="0" w:space="0" w:color="auto"/>
        <w:bottom w:val="none" w:sz="0" w:space="0" w:color="auto"/>
        <w:right w:val="none" w:sz="0" w:space="0" w:color="auto"/>
      </w:divBdr>
    </w:div>
    <w:div w:id="452139776">
      <w:bodyDiv w:val="1"/>
      <w:marLeft w:val="0"/>
      <w:marRight w:val="0"/>
      <w:marTop w:val="0"/>
      <w:marBottom w:val="0"/>
      <w:divBdr>
        <w:top w:val="none" w:sz="0" w:space="0" w:color="auto"/>
        <w:left w:val="none" w:sz="0" w:space="0" w:color="auto"/>
        <w:bottom w:val="none" w:sz="0" w:space="0" w:color="auto"/>
        <w:right w:val="none" w:sz="0" w:space="0" w:color="auto"/>
      </w:divBdr>
    </w:div>
    <w:div w:id="674919568">
      <w:bodyDiv w:val="1"/>
      <w:marLeft w:val="0"/>
      <w:marRight w:val="0"/>
      <w:marTop w:val="0"/>
      <w:marBottom w:val="0"/>
      <w:divBdr>
        <w:top w:val="none" w:sz="0" w:space="0" w:color="auto"/>
        <w:left w:val="none" w:sz="0" w:space="0" w:color="auto"/>
        <w:bottom w:val="none" w:sz="0" w:space="0" w:color="auto"/>
        <w:right w:val="none" w:sz="0" w:space="0" w:color="auto"/>
      </w:divBdr>
    </w:div>
    <w:div w:id="1215237154">
      <w:bodyDiv w:val="1"/>
      <w:marLeft w:val="0"/>
      <w:marRight w:val="0"/>
      <w:marTop w:val="0"/>
      <w:marBottom w:val="0"/>
      <w:divBdr>
        <w:top w:val="none" w:sz="0" w:space="0" w:color="auto"/>
        <w:left w:val="none" w:sz="0" w:space="0" w:color="auto"/>
        <w:bottom w:val="none" w:sz="0" w:space="0" w:color="auto"/>
        <w:right w:val="none" w:sz="0" w:space="0" w:color="auto"/>
      </w:divBdr>
    </w:div>
    <w:div w:id="15728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Thue-thu-nhap-ca-nhan-2025-so-109-2025-QH15-665870.aspx" TargetMode="External"/><Relationship Id="rId3" Type="http://schemas.openxmlformats.org/officeDocument/2006/relationships/settings" Target="settings.xml"/><Relationship Id="rId7" Type="http://schemas.openxmlformats.org/officeDocument/2006/relationships/hyperlink" Target="https://thuvienphapluat.vn/van-ban/Thue-Phi-Le-Phi/Luat-Thue-thu-nhap-ca-nhan-2025-so-109-2025-QH15-66587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Quyet-dinh-3389-QD-BTC-2025-phuong-phap-quan-ly-thue-ho-kinh-doanh-khi-xoa-bo-thue-khoan-676042.aspx" TargetMode="External"/><Relationship Id="rId11" Type="http://schemas.openxmlformats.org/officeDocument/2006/relationships/fontTable" Target="fontTable.xml"/><Relationship Id="rId5" Type="http://schemas.openxmlformats.org/officeDocument/2006/relationships/hyperlink" Target="https://thuvienphapluat.vn/van-ban/Thue-Phi-Le-Phi/Luat-Thue-gia-tri-gia-tang-2024-so-48-2024-QH15-556390.aspx" TargetMode="External"/><Relationship Id="rId10" Type="http://schemas.openxmlformats.org/officeDocument/2006/relationships/hyperlink" Target="https://thuvienphapluat.vn/van-ban/Thue-Phi-Le-Phi/Nghi-quyet-110-2025-UBTVQH15-muc-giam-tru-gia-canh-thue-thu-nhap-ca-nhan-665865.aspx" TargetMode="External"/><Relationship Id="rId4" Type="http://schemas.openxmlformats.org/officeDocument/2006/relationships/webSettings" Target="webSettings.xml"/><Relationship Id="rId9" Type="http://schemas.openxmlformats.org/officeDocument/2006/relationships/hyperlink" Target="https://thuvienphapluat.vn/chinh-sach-phap-luat-moi/vn/ho-tro-phap-luat/chi-dao-dieu-hanh/558/thong-qua-luat-thue-thu-nhap-ca-nha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2026-01-06T02:28:00Z</dcterms:created>
  <dcterms:modified xsi:type="dcterms:W3CDTF">2026-01-07T07:41:00Z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2c2bf3e9-06ff-4a34-b9d6-0735054ce553</vt:lpwstr>
  </property>
</Properties>
</file>