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89" w:rsidRPr="004F551D" w:rsidRDefault="00B304A8">
      <w:pPr>
        <w:rPr>
          <w:rFonts w:ascii="Times New Roman" w:hAnsi="Times New Roman" w:cs="Times New Roman"/>
          <w:b/>
          <w:sz w:val="26"/>
          <w:szCs w:val="26"/>
        </w:rPr>
      </w:pPr>
      <w:r w:rsidRPr="004F551D">
        <w:rPr>
          <w:rFonts w:ascii="Times New Roman" w:hAnsi="Times New Roman" w:cs="Times New Roman"/>
          <w:b/>
          <w:sz w:val="26"/>
          <w:szCs w:val="26"/>
        </w:rPr>
        <w:t>Những lưu ý về doanh thu và khoản giảm trừ thuế thu nhập cá nhân đối với hộ kinh doanh theo Thông báo 85</w:t>
      </w:r>
      <w:r w:rsidRPr="004F551D">
        <w:rPr>
          <w:rFonts w:ascii="Times New Roman" w:hAnsi="Times New Roman" w:cs="Times New Roman"/>
          <w:b/>
          <w:sz w:val="26"/>
          <w:szCs w:val="26"/>
        </w:rPr>
        <w:t>.</w:t>
      </w:r>
    </w:p>
    <w:p w:rsidR="00710245" w:rsidRPr="004F551D" w:rsidRDefault="00710245" w:rsidP="00276BBF">
      <w:pPr>
        <w:ind w:left="2160" w:firstLine="720"/>
        <w:rPr>
          <w:rFonts w:ascii="Times New Roman" w:hAnsi="Times New Roman" w:cs="Times New Roman"/>
          <w:sz w:val="26"/>
          <w:szCs w:val="26"/>
        </w:rPr>
      </w:pPr>
      <w:r w:rsidRPr="004F551D">
        <w:rPr>
          <w:rFonts w:ascii="Times New Roman" w:hAnsi="Times New Roman" w:cs="Times New Roman"/>
          <w:sz w:val="26"/>
          <w:szCs w:val="26"/>
        </w:rPr>
        <w:t>ThS. Mai Thị Quỳnh Như – Khoa Kế toán</w:t>
      </w:r>
    </w:p>
    <w:p w:rsidR="00B304A8" w:rsidRPr="004F551D" w:rsidRDefault="00B304A8" w:rsidP="004F551D">
      <w:pPr>
        <w:spacing w:after="0" w:line="360" w:lineRule="auto"/>
        <w:jc w:val="both"/>
        <w:rPr>
          <w:rFonts w:ascii="Times New Roman" w:hAnsi="Times New Roman" w:cs="Times New Roman"/>
          <w:sz w:val="26"/>
          <w:szCs w:val="26"/>
        </w:rPr>
      </w:pPr>
      <w:r w:rsidRPr="004F551D">
        <w:rPr>
          <w:rFonts w:ascii="Times New Roman" w:hAnsi="Times New Roman" w:cs="Times New Roman"/>
          <w:sz w:val="26"/>
          <w:szCs w:val="26"/>
        </w:rPr>
        <w:t>Bài viết phân tích các quy định liên quan đến việc xác định doanh thu và các khoản chi được trừ khi tính thuế thu nhập cá nhân đối với hộ kinh doanh theo Thông báo 85/TB-CT năm 2026. Đồng thời, bài viết làm rõ quy định về hóa đơn điện tử và thời hạn kê khai thuế đối với từng mức doanh thu. Qua đó giúp hộ kinh doanh hiểu rõ hơn về nghĩa vụ thuế và nâng cao ý thức tuân thủ pháp luật thuế trong hoạt động kinh doanh.</w:t>
      </w:r>
    </w:p>
    <w:p w:rsidR="00B304A8" w:rsidRPr="004F551D" w:rsidRDefault="00B304A8" w:rsidP="00B304A8">
      <w:pPr>
        <w:pStyle w:val="ListParagraph"/>
        <w:numPr>
          <w:ilvl w:val="0"/>
          <w:numId w:val="1"/>
        </w:numPr>
        <w:rPr>
          <w:rFonts w:ascii="Times New Roman" w:hAnsi="Times New Roman" w:cs="Times New Roman"/>
          <w:b/>
          <w:sz w:val="26"/>
          <w:szCs w:val="26"/>
        </w:rPr>
      </w:pPr>
      <w:r w:rsidRPr="004F551D">
        <w:rPr>
          <w:rFonts w:ascii="Times New Roman" w:hAnsi="Times New Roman" w:cs="Times New Roman"/>
          <w:b/>
          <w:sz w:val="26"/>
          <w:szCs w:val="26"/>
        </w:rPr>
        <w:t>Đặt vấn đề</w:t>
      </w:r>
    </w:p>
    <w:p w:rsidR="00B304A8" w:rsidRPr="004F551D" w:rsidRDefault="00B304A8" w:rsidP="004F551D">
      <w:pPr>
        <w:pStyle w:val="NormalWeb"/>
        <w:spacing w:before="0" w:beforeAutospacing="0" w:after="0" w:afterAutospacing="0" w:line="360" w:lineRule="auto"/>
        <w:jc w:val="both"/>
        <w:rPr>
          <w:sz w:val="26"/>
          <w:szCs w:val="26"/>
        </w:rPr>
      </w:pPr>
      <w:r w:rsidRPr="004F551D">
        <w:rPr>
          <w:sz w:val="26"/>
          <w:szCs w:val="26"/>
        </w:rPr>
        <w:t>Trong những năm gần đây, hoạt động của hộ kinh doanh cá thể ngày càng phát triển và đóng góp đáng kể vào nền kinh tế. Tuy nhiên, nhiều hộ kinh doanh vẫn còn gặp khó khăn trong việc hiểu và thực hiện các quy định về thuế. Nhằm giúp hộ kinh doanh nắm rõ quyền và nghĩa vụ thuế, cơ quan thuế đã ban hành Thông báo 85/TB-CT năm 2026 để tuyên truyền và phổ biến các chính sách thuế mới. Bài viết này nhằm phân tích những điểm cần lưu ý về doanh thu, các khoản chi được trừ và quy định về hóa đơn điện tử đối với hộ kinh doanh.</w:t>
      </w:r>
    </w:p>
    <w:p w:rsidR="00743BD8" w:rsidRPr="004F551D" w:rsidRDefault="00743BD8" w:rsidP="004F551D">
      <w:pPr>
        <w:pStyle w:val="NormalWeb"/>
        <w:numPr>
          <w:ilvl w:val="0"/>
          <w:numId w:val="1"/>
        </w:numPr>
        <w:spacing w:before="0" w:beforeAutospacing="0" w:after="0" w:afterAutospacing="0" w:line="360" w:lineRule="auto"/>
        <w:jc w:val="both"/>
        <w:rPr>
          <w:b/>
          <w:sz w:val="26"/>
          <w:szCs w:val="26"/>
        </w:rPr>
      </w:pPr>
      <w:r w:rsidRPr="004F551D">
        <w:rPr>
          <w:b/>
          <w:sz w:val="26"/>
          <w:szCs w:val="26"/>
        </w:rPr>
        <w:t>Nội dung thông báo 85</w:t>
      </w:r>
    </w:p>
    <w:p w:rsidR="00743BD8" w:rsidRPr="004F551D" w:rsidRDefault="00743BD8" w:rsidP="004F551D">
      <w:pPr>
        <w:pStyle w:val="NormalWeb"/>
        <w:spacing w:before="0" w:beforeAutospacing="0" w:after="0" w:afterAutospacing="0" w:line="360" w:lineRule="auto"/>
        <w:ind w:firstLine="360"/>
        <w:jc w:val="both"/>
        <w:rPr>
          <w:i/>
          <w:sz w:val="26"/>
          <w:szCs w:val="26"/>
        </w:rPr>
      </w:pPr>
      <w:r w:rsidRPr="004F551D">
        <w:rPr>
          <w:i/>
          <w:sz w:val="26"/>
          <w:szCs w:val="26"/>
        </w:rPr>
        <w:t>2.</w:t>
      </w:r>
      <w:r w:rsidRPr="004F551D">
        <w:rPr>
          <w:i/>
          <w:sz w:val="26"/>
          <w:szCs w:val="26"/>
        </w:rPr>
        <w:t xml:space="preserve">1. Doanh thu và khoản giảm trừ thuế TNCN như sau: </w:t>
      </w:r>
    </w:p>
    <w:p w:rsidR="00743BD8" w:rsidRPr="004F551D" w:rsidRDefault="00743BD8" w:rsidP="004F551D">
      <w:pPr>
        <w:pStyle w:val="NormalWeb"/>
        <w:spacing w:before="0" w:beforeAutospacing="0" w:after="0" w:afterAutospacing="0" w:line="360" w:lineRule="auto"/>
        <w:jc w:val="both"/>
        <w:rPr>
          <w:sz w:val="26"/>
          <w:szCs w:val="26"/>
        </w:rPr>
      </w:pPr>
      <w:r w:rsidRPr="004F551D">
        <w:rPr>
          <w:sz w:val="26"/>
          <w:szCs w:val="26"/>
        </w:rPr>
        <w:t>* Doanh thu xác định thuế TNCN</w:t>
      </w:r>
    </w:p>
    <w:p w:rsidR="00743BD8" w:rsidRPr="004F551D" w:rsidRDefault="00743BD8" w:rsidP="004F551D">
      <w:pPr>
        <w:pStyle w:val="NormalWeb"/>
        <w:spacing w:before="0" w:beforeAutospacing="0" w:after="0" w:afterAutospacing="0" w:line="360" w:lineRule="auto"/>
        <w:ind w:left="-142" w:firstLine="142"/>
        <w:jc w:val="both"/>
        <w:rPr>
          <w:sz w:val="26"/>
          <w:szCs w:val="26"/>
        </w:rPr>
      </w:pPr>
      <w:r w:rsidRPr="004F551D">
        <w:rPr>
          <w:sz w:val="26"/>
          <w:szCs w:val="26"/>
        </w:rPr>
        <w:t>Doanh thu là toàn bộ tiền bán hàng, tiền gia công, tiền cung ứng dịch vụ kể cả trợ giá, phụ thu, phụ trội mà CNKD được hưởng, không phân biệt đã thu được tiền hay chưa thu được tiền; bao gồm cả:</w:t>
      </w:r>
    </w:p>
    <w:p w:rsidR="00743BD8" w:rsidRPr="004F551D" w:rsidRDefault="00743BD8" w:rsidP="004F551D">
      <w:pPr>
        <w:pStyle w:val="NormalWeb"/>
        <w:spacing w:before="0" w:beforeAutospacing="0" w:after="0" w:afterAutospacing="0" w:line="360" w:lineRule="auto"/>
        <w:ind w:left="-142"/>
        <w:jc w:val="both"/>
        <w:rPr>
          <w:sz w:val="26"/>
          <w:szCs w:val="26"/>
        </w:rPr>
      </w:pPr>
      <w:r w:rsidRPr="004F551D">
        <w:rPr>
          <w:sz w:val="26"/>
          <w:szCs w:val="26"/>
        </w:rPr>
        <w:t>- Các khoản thưởng được nhận</w:t>
      </w:r>
    </w:p>
    <w:p w:rsidR="00743BD8" w:rsidRPr="004F551D" w:rsidRDefault="00743BD8" w:rsidP="004F551D">
      <w:pPr>
        <w:pStyle w:val="NormalWeb"/>
        <w:spacing w:before="0" w:beforeAutospacing="0" w:after="0" w:afterAutospacing="0" w:line="360" w:lineRule="auto"/>
        <w:ind w:left="-142"/>
        <w:jc w:val="both"/>
        <w:rPr>
          <w:sz w:val="26"/>
          <w:szCs w:val="26"/>
        </w:rPr>
      </w:pPr>
      <w:r w:rsidRPr="004F551D">
        <w:rPr>
          <w:sz w:val="26"/>
          <w:szCs w:val="26"/>
        </w:rPr>
        <w:t>- Khoản được nhận từ hỗ trợ đạt doanh số, khuyến mại, chiết khấu thanh toán</w:t>
      </w:r>
    </w:p>
    <w:p w:rsidR="00743BD8" w:rsidRPr="004F551D" w:rsidRDefault="00743BD8" w:rsidP="004F551D">
      <w:pPr>
        <w:pStyle w:val="NormalWeb"/>
        <w:spacing w:before="0" w:beforeAutospacing="0" w:after="0" w:afterAutospacing="0" w:line="360" w:lineRule="auto"/>
        <w:ind w:left="-142"/>
        <w:jc w:val="both"/>
        <w:rPr>
          <w:sz w:val="26"/>
          <w:szCs w:val="26"/>
        </w:rPr>
      </w:pPr>
      <w:r w:rsidRPr="004F551D">
        <w:rPr>
          <w:sz w:val="26"/>
          <w:szCs w:val="26"/>
        </w:rPr>
        <w:t>- Khoản hỗ trợ được nhận bằng tiền hoặc không bằng tiền</w:t>
      </w:r>
    </w:p>
    <w:p w:rsidR="00743BD8" w:rsidRPr="004F551D" w:rsidRDefault="00743BD8" w:rsidP="004F551D">
      <w:pPr>
        <w:pStyle w:val="NormalWeb"/>
        <w:spacing w:before="0" w:beforeAutospacing="0" w:after="0" w:afterAutospacing="0" w:line="360" w:lineRule="auto"/>
        <w:ind w:left="-142"/>
        <w:jc w:val="both"/>
        <w:rPr>
          <w:sz w:val="26"/>
          <w:szCs w:val="26"/>
        </w:rPr>
      </w:pPr>
      <w:r w:rsidRPr="004F551D">
        <w:rPr>
          <w:sz w:val="26"/>
          <w:szCs w:val="26"/>
        </w:rPr>
        <w:t>- Các khoản trợ giá, phụ thu, phụ trội, phí thu thêm được nhận theo quy định (Không bao gồm: Chiết khấu thương mại, giảm giá hàng bán, hàng bán bị trả lại)</w:t>
      </w:r>
    </w:p>
    <w:p w:rsidR="00743BD8" w:rsidRPr="004F551D" w:rsidRDefault="00743BD8" w:rsidP="004F551D">
      <w:pPr>
        <w:pStyle w:val="NormalWeb"/>
        <w:spacing w:before="0" w:beforeAutospacing="0" w:after="0" w:afterAutospacing="0" w:line="360" w:lineRule="auto"/>
        <w:ind w:left="-142"/>
        <w:jc w:val="both"/>
        <w:rPr>
          <w:sz w:val="26"/>
          <w:szCs w:val="26"/>
        </w:rPr>
      </w:pPr>
      <w:r w:rsidRPr="004F551D">
        <w:rPr>
          <w:sz w:val="26"/>
          <w:szCs w:val="26"/>
        </w:rPr>
        <w:t>- Các khoản bồi thường vi phạm hợp đồng, bồi thường khác liên quan đến hoạt động kinh doanh,</w:t>
      </w:r>
    </w:p>
    <w:p w:rsidR="00743BD8" w:rsidRPr="004F551D" w:rsidRDefault="00743BD8" w:rsidP="004F551D">
      <w:pPr>
        <w:pStyle w:val="NormalWeb"/>
        <w:spacing w:before="0" w:beforeAutospacing="0" w:after="0" w:afterAutospacing="0" w:line="360" w:lineRule="auto"/>
        <w:ind w:left="-142"/>
        <w:jc w:val="both"/>
        <w:rPr>
          <w:sz w:val="26"/>
          <w:szCs w:val="26"/>
        </w:rPr>
      </w:pPr>
      <w:r w:rsidRPr="004F551D">
        <w:rPr>
          <w:sz w:val="26"/>
          <w:szCs w:val="26"/>
        </w:rPr>
        <w:t>- Doanh thu khác mà CNKD được nhận không phân biệt đã thu được tiền hay chưa thu được tiền.</w:t>
      </w:r>
    </w:p>
    <w:p w:rsidR="00743BD8" w:rsidRPr="004F551D" w:rsidRDefault="00743BD8" w:rsidP="004F551D">
      <w:pPr>
        <w:pStyle w:val="NormalWeb"/>
        <w:spacing w:before="0" w:beforeAutospacing="0" w:after="0" w:afterAutospacing="0" w:line="360" w:lineRule="auto"/>
        <w:ind w:left="360"/>
        <w:jc w:val="both"/>
        <w:rPr>
          <w:i/>
          <w:sz w:val="26"/>
          <w:szCs w:val="26"/>
        </w:rPr>
      </w:pPr>
      <w:r w:rsidRPr="004F551D">
        <w:rPr>
          <w:i/>
          <w:sz w:val="26"/>
          <w:szCs w:val="26"/>
        </w:rPr>
        <w:lastRenderedPageBreak/>
        <w:t xml:space="preserve">2.2 </w:t>
      </w:r>
      <w:r w:rsidRPr="004F551D">
        <w:rPr>
          <w:i/>
          <w:sz w:val="26"/>
          <w:szCs w:val="26"/>
        </w:rPr>
        <w:t>Các khoản chi được trừ</w:t>
      </w:r>
    </w:p>
    <w:p w:rsidR="00743BD8" w:rsidRPr="004F551D" w:rsidRDefault="00743BD8" w:rsidP="004F551D">
      <w:pPr>
        <w:pStyle w:val="NormalWeb"/>
        <w:spacing w:before="0" w:beforeAutospacing="0" w:after="0" w:afterAutospacing="0" w:line="360" w:lineRule="auto"/>
        <w:ind w:left="-142" w:firstLine="502"/>
        <w:jc w:val="both"/>
        <w:rPr>
          <w:sz w:val="26"/>
          <w:szCs w:val="26"/>
        </w:rPr>
      </w:pPr>
      <w:r w:rsidRPr="004F551D">
        <w:rPr>
          <w:sz w:val="26"/>
          <w:szCs w:val="26"/>
        </w:rPr>
        <w:t>Là các khoản chi phí thực tế phát sinh liên quan đến hoạt động sản xuất, kinh doanh, có đủ hóa đơn, chứng từ theo quy định của pháp luật về hóa đơn, chứng từ, pháp luật về kế toán và chứng từ thanh toán không dùng tiền mặt đối với các khoản thanh toán từng lần có giá trị từ 05 triệu đồng trở lên theo pháp luật về thuế giá trị gia tăng.</w:t>
      </w:r>
    </w:p>
    <w:p w:rsidR="00743BD8" w:rsidRPr="004F551D" w:rsidRDefault="00743BD8" w:rsidP="004F551D">
      <w:pPr>
        <w:pStyle w:val="NormalWeb"/>
        <w:spacing w:before="0" w:beforeAutospacing="0" w:after="0" w:afterAutospacing="0" w:line="360" w:lineRule="auto"/>
        <w:ind w:left="-142"/>
        <w:jc w:val="both"/>
        <w:rPr>
          <w:i/>
          <w:sz w:val="26"/>
          <w:szCs w:val="26"/>
        </w:rPr>
      </w:pPr>
      <w:r w:rsidRPr="004F551D">
        <w:rPr>
          <w:i/>
          <w:sz w:val="26"/>
          <w:szCs w:val="26"/>
        </w:rPr>
        <w:t>2.3</w:t>
      </w:r>
      <w:r w:rsidRPr="004F551D">
        <w:rPr>
          <w:i/>
          <w:sz w:val="26"/>
          <w:szCs w:val="26"/>
        </w:rPr>
        <w:t xml:space="preserve">. Quy định về hóa đơn điện tử và thời hạn khai thuế đối với hộ kinh doanh </w:t>
      </w:r>
    </w:p>
    <w:p w:rsidR="00743BD8" w:rsidRPr="004F551D" w:rsidRDefault="00743BD8" w:rsidP="004F551D">
      <w:pPr>
        <w:pStyle w:val="NormalWeb"/>
        <w:spacing w:before="0" w:beforeAutospacing="0" w:after="0" w:afterAutospacing="0" w:line="360" w:lineRule="auto"/>
        <w:ind w:left="-142" w:firstLine="862"/>
        <w:jc w:val="both"/>
        <w:rPr>
          <w:sz w:val="26"/>
          <w:szCs w:val="26"/>
        </w:rPr>
      </w:pPr>
      <w:r w:rsidRPr="004F551D">
        <w:rPr>
          <w:sz w:val="26"/>
          <w:szCs w:val="26"/>
        </w:rPr>
        <w:t>Thông báo 85/TB-CT năm 2026 cũng quy định hóa đơn điện tử và thời hạn khai thuế đối với hộ kinh doanh như sau:</w:t>
      </w: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08"/>
        <w:gridCol w:w="2546"/>
        <w:gridCol w:w="4801"/>
      </w:tblGrid>
      <w:tr w:rsidR="00743BD8" w:rsidRPr="004F551D" w:rsidTr="008D7061">
        <w:trPr>
          <w:trHeight w:val="495"/>
          <w:jc w:val="center"/>
        </w:trPr>
        <w:tc>
          <w:tcPr>
            <w:tcW w:w="94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jc w:val="center"/>
              <w:rPr>
                <w:color w:val="333333"/>
                <w:sz w:val="26"/>
                <w:szCs w:val="26"/>
              </w:rPr>
            </w:pPr>
            <w:r w:rsidRPr="004F551D">
              <w:rPr>
                <w:rStyle w:val="Strong"/>
                <w:color w:val="333333"/>
                <w:sz w:val="26"/>
                <w:szCs w:val="26"/>
              </w:rPr>
              <w:t>Doanh thu</w:t>
            </w:r>
          </w:p>
        </w:tc>
        <w:tc>
          <w:tcPr>
            <w:tcW w:w="140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jc w:val="center"/>
              <w:rPr>
                <w:color w:val="333333"/>
                <w:sz w:val="26"/>
                <w:szCs w:val="26"/>
              </w:rPr>
            </w:pPr>
            <w:r w:rsidRPr="004F551D">
              <w:rPr>
                <w:rStyle w:val="Strong"/>
                <w:color w:val="333333"/>
                <w:sz w:val="26"/>
                <w:szCs w:val="26"/>
              </w:rPr>
              <w:t>HĐĐT</w:t>
            </w:r>
          </w:p>
        </w:tc>
        <w:tc>
          <w:tcPr>
            <w:tcW w:w="265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jc w:val="center"/>
              <w:rPr>
                <w:color w:val="333333"/>
                <w:sz w:val="26"/>
                <w:szCs w:val="26"/>
              </w:rPr>
            </w:pPr>
            <w:r w:rsidRPr="004F551D">
              <w:rPr>
                <w:rStyle w:val="Strong"/>
                <w:color w:val="333333"/>
                <w:sz w:val="26"/>
                <w:szCs w:val="26"/>
              </w:rPr>
              <w:t>Thời hạn kê khai</w:t>
            </w:r>
          </w:p>
        </w:tc>
      </w:tr>
      <w:tr w:rsidR="00743BD8" w:rsidRPr="004F551D" w:rsidTr="008D7061">
        <w:trPr>
          <w:trHeight w:val="1425"/>
          <w:jc w:val="center"/>
        </w:trPr>
        <w:tc>
          <w:tcPr>
            <w:tcW w:w="94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rPr>
                <w:color w:val="333333"/>
                <w:sz w:val="26"/>
                <w:szCs w:val="26"/>
              </w:rPr>
            </w:pPr>
            <w:r w:rsidRPr="004F551D">
              <w:rPr>
                <w:color w:val="333333"/>
                <w:sz w:val="26"/>
                <w:szCs w:val="26"/>
              </w:rPr>
              <w:t>DT &lt;= 500 triệu</w:t>
            </w:r>
          </w:p>
        </w:tc>
        <w:tc>
          <w:tcPr>
            <w:tcW w:w="140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jc w:val="center"/>
              <w:rPr>
                <w:color w:val="333333"/>
                <w:sz w:val="26"/>
                <w:szCs w:val="26"/>
              </w:rPr>
            </w:pPr>
            <w:r w:rsidRPr="004F551D">
              <w:rPr>
                <w:color w:val="333333"/>
                <w:sz w:val="26"/>
                <w:szCs w:val="26"/>
              </w:rPr>
              <w:t>Không</w:t>
            </w:r>
          </w:p>
        </w:tc>
        <w:tc>
          <w:tcPr>
            <w:tcW w:w="265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rPr>
                <w:color w:val="333333"/>
                <w:sz w:val="26"/>
                <w:szCs w:val="26"/>
              </w:rPr>
            </w:pPr>
            <w:r w:rsidRPr="004F551D">
              <w:rPr>
                <w:color w:val="333333"/>
                <w:sz w:val="26"/>
                <w:szCs w:val="26"/>
              </w:rPr>
              <w:t>- 1 lần/ năm (31/01 năm dương lịch tiếp theo)</w:t>
            </w:r>
          </w:p>
          <w:p w:rsidR="00743BD8" w:rsidRPr="004F551D" w:rsidRDefault="00743BD8" w:rsidP="008D7061">
            <w:pPr>
              <w:pStyle w:val="NormalWeb"/>
              <w:spacing w:before="0" w:beforeAutospacing="0" w:after="0" w:afterAutospacing="0" w:line="360" w:lineRule="auto"/>
              <w:rPr>
                <w:color w:val="333333"/>
                <w:sz w:val="26"/>
                <w:szCs w:val="26"/>
              </w:rPr>
            </w:pPr>
            <w:r w:rsidRPr="004F551D">
              <w:rPr>
                <w:color w:val="333333"/>
                <w:sz w:val="26"/>
                <w:szCs w:val="26"/>
              </w:rPr>
              <w:t>- Riêng năm 2026: 02 lần/năm (31/7/2026 và 31/1/2027)</w:t>
            </w:r>
          </w:p>
          <w:p w:rsidR="00743BD8" w:rsidRPr="004F551D" w:rsidRDefault="00743BD8" w:rsidP="008D7061">
            <w:pPr>
              <w:pStyle w:val="NormalWeb"/>
              <w:spacing w:before="0" w:beforeAutospacing="0" w:after="0" w:afterAutospacing="0" w:line="360" w:lineRule="auto"/>
              <w:rPr>
                <w:color w:val="333333"/>
                <w:sz w:val="26"/>
                <w:szCs w:val="26"/>
              </w:rPr>
            </w:pPr>
            <w:r w:rsidRPr="004F551D">
              <w:rPr>
                <w:color w:val="333333"/>
                <w:sz w:val="26"/>
                <w:szCs w:val="26"/>
              </w:rPr>
              <w:t>- Trường hợp phát sinh DT thực tế &gt; 500 triệu: khai, nộp thuế kể từ quý phát sinh DT&gt;500 triệu</w:t>
            </w:r>
          </w:p>
        </w:tc>
      </w:tr>
      <w:tr w:rsidR="00743BD8" w:rsidRPr="004F551D" w:rsidTr="008D7061">
        <w:trPr>
          <w:trHeight w:val="1545"/>
          <w:jc w:val="center"/>
        </w:trPr>
        <w:tc>
          <w:tcPr>
            <w:tcW w:w="94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rPr>
                <w:color w:val="333333"/>
                <w:sz w:val="26"/>
                <w:szCs w:val="26"/>
              </w:rPr>
            </w:pPr>
            <w:r w:rsidRPr="004F551D">
              <w:rPr>
                <w:color w:val="333333"/>
                <w:sz w:val="26"/>
                <w:szCs w:val="26"/>
              </w:rPr>
              <w:t>500 triệu &lt; DT &lt;= 03 tỷ</w:t>
            </w:r>
          </w:p>
        </w:tc>
        <w:tc>
          <w:tcPr>
            <w:tcW w:w="140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rPr>
                <w:color w:val="333333"/>
                <w:sz w:val="26"/>
                <w:szCs w:val="26"/>
              </w:rPr>
            </w:pPr>
            <w:r w:rsidRPr="004F551D">
              <w:rPr>
                <w:rStyle w:val="Strong"/>
                <w:color w:val="333333"/>
                <w:sz w:val="26"/>
                <w:szCs w:val="26"/>
              </w:rPr>
              <w:t>- 500 triệu &lt;DT&lt; 01 tỷ:</w:t>
            </w:r>
            <w:r w:rsidRPr="004F551D">
              <w:rPr>
                <w:color w:val="333333"/>
                <w:sz w:val="26"/>
                <w:szCs w:val="26"/>
              </w:rPr>
              <w:t> Không bắt buộc sử dụng. Trường hợp đáp ứng điều kiện và có nhu cầu sử dụng HĐĐT thì đăng ký sử dụng. Nếu có nhu cầu thì được CQT cấp hóa đơn từng lần phát sinh.</w:t>
            </w:r>
          </w:p>
          <w:p w:rsidR="00743BD8" w:rsidRPr="004F551D" w:rsidRDefault="00743BD8" w:rsidP="008D7061">
            <w:pPr>
              <w:pStyle w:val="NormalWeb"/>
              <w:spacing w:before="0" w:beforeAutospacing="0" w:after="0" w:afterAutospacing="0" w:line="360" w:lineRule="auto"/>
              <w:jc w:val="center"/>
              <w:rPr>
                <w:color w:val="333333"/>
                <w:sz w:val="26"/>
                <w:szCs w:val="26"/>
              </w:rPr>
            </w:pPr>
            <w:r w:rsidRPr="004F551D">
              <w:rPr>
                <w:rStyle w:val="Strong"/>
                <w:color w:val="333333"/>
                <w:sz w:val="26"/>
                <w:szCs w:val="26"/>
              </w:rPr>
              <w:t>- DT&gt;=01 tỷ:</w:t>
            </w:r>
            <w:r w:rsidRPr="004F551D">
              <w:rPr>
                <w:color w:val="333333"/>
                <w:sz w:val="26"/>
                <w:szCs w:val="26"/>
              </w:rPr>
              <w:t> Sử dụng HĐĐT</w:t>
            </w:r>
          </w:p>
        </w:tc>
        <w:tc>
          <w:tcPr>
            <w:tcW w:w="265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jc w:val="center"/>
              <w:rPr>
                <w:color w:val="333333"/>
                <w:sz w:val="26"/>
                <w:szCs w:val="26"/>
              </w:rPr>
            </w:pPr>
            <w:r w:rsidRPr="004F551D">
              <w:rPr>
                <w:color w:val="333333"/>
                <w:sz w:val="26"/>
                <w:szCs w:val="26"/>
              </w:rPr>
              <w:t>Theo quý</w:t>
            </w:r>
          </w:p>
          <w:p w:rsidR="00743BD8" w:rsidRPr="004F551D" w:rsidRDefault="00743BD8" w:rsidP="008D7061">
            <w:pPr>
              <w:pStyle w:val="NormalWeb"/>
              <w:spacing w:before="0" w:beforeAutospacing="0" w:after="0" w:afterAutospacing="0" w:line="360" w:lineRule="auto"/>
              <w:jc w:val="center"/>
              <w:rPr>
                <w:color w:val="333333"/>
                <w:sz w:val="26"/>
                <w:szCs w:val="26"/>
              </w:rPr>
            </w:pPr>
            <w:r w:rsidRPr="004F551D">
              <w:rPr>
                <w:color w:val="333333"/>
                <w:sz w:val="26"/>
                <w:szCs w:val="26"/>
              </w:rPr>
              <w:t>Trường hợp nộp thuế TNCN trên thu nhập tính thuế: khai tạm nộp thuế TNCN theo quý trên cùng hồ sơ khai thuế GTGT và khai quyết toán thuế TNCN theo năm (chậm nhất là ngày 31/3 năm dương lịch tiếp theo)</w:t>
            </w:r>
          </w:p>
        </w:tc>
      </w:tr>
      <w:tr w:rsidR="00743BD8" w:rsidRPr="004F551D" w:rsidTr="008D7061">
        <w:trPr>
          <w:trHeight w:val="960"/>
          <w:jc w:val="center"/>
        </w:trPr>
        <w:tc>
          <w:tcPr>
            <w:tcW w:w="94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rPr>
                <w:color w:val="333333"/>
                <w:sz w:val="26"/>
                <w:szCs w:val="26"/>
              </w:rPr>
            </w:pPr>
            <w:r w:rsidRPr="004F551D">
              <w:rPr>
                <w:color w:val="333333"/>
                <w:sz w:val="26"/>
                <w:szCs w:val="26"/>
              </w:rPr>
              <w:t>03 tỷ &lt; DT &lt;= 50 tỷ</w:t>
            </w:r>
          </w:p>
        </w:tc>
        <w:tc>
          <w:tcPr>
            <w:tcW w:w="140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spacing w:after="0" w:line="360" w:lineRule="auto"/>
              <w:jc w:val="center"/>
              <w:rPr>
                <w:rFonts w:ascii="Times New Roman" w:hAnsi="Times New Roman" w:cs="Times New Roman"/>
                <w:color w:val="333333"/>
                <w:sz w:val="26"/>
                <w:szCs w:val="26"/>
              </w:rPr>
            </w:pPr>
          </w:p>
        </w:tc>
        <w:tc>
          <w:tcPr>
            <w:tcW w:w="265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jc w:val="center"/>
              <w:rPr>
                <w:color w:val="333333"/>
                <w:sz w:val="26"/>
                <w:szCs w:val="26"/>
              </w:rPr>
            </w:pPr>
            <w:r w:rsidRPr="004F551D">
              <w:rPr>
                <w:color w:val="333333"/>
                <w:sz w:val="26"/>
                <w:szCs w:val="26"/>
              </w:rPr>
              <w:t>Khai, nộp thuế GTGT theo quý, khai tạm nộp thuế TNCN theo quý trên cùng hồ sơ khai thuế GTGT và khai quyết toán thuế TNCN theo năm (chậm nhất là ngày 31/3 năm dương lịch tiếp theo)</w:t>
            </w:r>
          </w:p>
        </w:tc>
      </w:tr>
      <w:tr w:rsidR="00743BD8" w:rsidRPr="004F551D" w:rsidTr="008D7061">
        <w:trPr>
          <w:trHeight w:val="1185"/>
          <w:jc w:val="center"/>
        </w:trPr>
        <w:tc>
          <w:tcPr>
            <w:tcW w:w="94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rPr>
                <w:color w:val="333333"/>
                <w:sz w:val="26"/>
                <w:szCs w:val="26"/>
              </w:rPr>
            </w:pPr>
            <w:r w:rsidRPr="004F551D">
              <w:rPr>
                <w:color w:val="333333"/>
                <w:sz w:val="26"/>
                <w:szCs w:val="26"/>
              </w:rPr>
              <w:t>DT &gt; 50 tỷ</w:t>
            </w:r>
          </w:p>
        </w:tc>
        <w:tc>
          <w:tcPr>
            <w:tcW w:w="140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spacing w:after="0" w:line="360" w:lineRule="auto"/>
              <w:jc w:val="center"/>
              <w:rPr>
                <w:rFonts w:ascii="Times New Roman" w:hAnsi="Times New Roman" w:cs="Times New Roman"/>
                <w:color w:val="333333"/>
                <w:sz w:val="26"/>
                <w:szCs w:val="26"/>
              </w:rPr>
            </w:pPr>
          </w:p>
        </w:tc>
        <w:tc>
          <w:tcPr>
            <w:tcW w:w="265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743BD8" w:rsidRPr="004F551D" w:rsidRDefault="00743BD8" w:rsidP="008D7061">
            <w:pPr>
              <w:pStyle w:val="NormalWeb"/>
              <w:spacing w:before="0" w:beforeAutospacing="0" w:after="0" w:afterAutospacing="0" w:line="360" w:lineRule="auto"/>
              <w:jc w:val="center"/>
              <w:rPr>
                <w:color w:val="333333"/>
                <w:sz w:val="26"/>
                <w:szCs w:val="26"/>
              </w:rPr>
            </w:pPr>
            <w:r w:rsidRPr="004F551D">
              <w:rPr>
                <w:color w:val="333333"/>
                <w:sz w:val="26"/>
                <w:szCs w:val="26"/>
              </w:rPr>
              <w:t xml:space="preserve">Khai, nộp thuế GTGT theo tháng, khai tạm nộp thuế TNCN theo tháng trên cùng hồ sơ khai thuế GTGT và khai quyết toán thuế </w:t>
            </w:r>
            <w:r w:rsidRPr="004F551D">
              <w:rPr>
                <w:color w:val="333333"/>
                <w:sz w:val="26"/>
                <w:szCs w:val="26"/>
              </w:rPr>
              <w:lastRenderedPageBreak/>
              <w:t>TNCN theo năm (chậm nhất là ngày 31/3 năm dương lịch tiếp theo)</w:t>
            </w:r>
          </w:p>
        </w:tc>
      </w:tr>
    </w:tbl>
    <w:p w:rsidR="00743BD8" w:rsidRPr="004F551D" w:rsidRDefault="004F551D" w:rsidP="004F551D">
      <w:pPr>
        <w:pStyle w:val="NormalWeb"/>
        <w:spacing w:before="0" w:beforeAutospacing="0" w:after="0" w:afterAutospacing="0" w:line="360" w:lineRule="auto"/>
        <w:jc w:val="both"/>
        <w:rPr>
          <w:sz w:val="26"/>
          <w:szCs w:val="26"/>
        </w:rPr>
      </w:pPr>
      <w:r>
        <w:rPr>
          <w:sz w:val="26"/>
          <w:szCs w:val="26"/>
        </w:rPr>
        <w:lastRenderedPageBreak/>
        <w:t>3.</w:t>
      </w:r>
      <w:r w:rsidR="00067E59" w:rsidRPr="004F551D">
        <w:rPr>
          <w:sz w:val="26"/>
          <w:szCs w:val="26"/>
        </w:rPr>
        <w:t>Kết luận</w:t>
      </w:r>
    </w:p>
    <w:p w:rsidR="00067E59" w:rsidRPr="004F551D" w:rsidRDefault="00067E59" w:rsidP="004F551D">
      <w:pPr>
        <w:pStyle w:val="NormalWeb"/>
        <w:spacing w:before="0" w:beforeAutospacing="0" w:after="0" w:afterAutospacing="0" w:line="360" w:lineRule="auto"/>
        <w:jc w:val="both"/>
        <w:rPr>
          <w:sz w:val="26"/>
          <w:szCs w:val="26"/>
        </w:rPr>
      </w:pPr>
      <w:r w:rsidRPr="004F551D">
        <w:rPr>
          <w:sz w:val="26"/>
          <w:szCs w:val="26"/>
        </w:rPr>
        <w:t>Những quy định về xác định doanh thu, các khoản chi được trừ và việc sử dụng hóa đơn điện tử theo Thông báo 85/TB-CT năm 2026 có vai trò quan trọng trong việc nâng cao hiệu quả quản lý thuế đối với hộ kinh doanh. Việc nắm rõ các quy định này không chỉ giúp hộ kinh doanh thực hiện đúng nghĩa vụ thuế mà còn góp phần xây dựng môi trường kinh doanh minh bạch, công bằng và tuân thủ pháp luật.</w:t>
      </w:r>
    </w:p>
    <w:p w:rsidR="00067E59" w:rsidRPr="004F551D" w:rsidRDefault="00067E59" w:rsidP="004F551D">
      <w:pPr>
        <w:pStyle w:val="NormalWeb"/>
        <w:spacing w:before="0" w:beforeAutospacing="0" w:after="0" w:afterAutospacing="0" w:line="360" w:lineRule="auto"/>
        <w:jc w:val="both"/>
        <w:rPr>
          <w:b/>
          <w:sz w:val="26"/>
          <w:szCs w:val="26"/>
        </w:rPr>
      </w:pPr>
      <w:r w:rsidRPr="004F551D">
        <w:rPr>
          <w:b/>
          <w:sz w:val="26"/>
          <w:szCs w:val="26"/>
        </w:rPr>
        <w:t>Tài liệ</w:t>
      </w:r>
      <w:bookmarkStart w:id="0" w:name="_GoBack"/>
      <w:bookmarkEnd w:id="0"/>
      <w:r w:rsidRPr="004F551D">
        <w:rPr>
          <w:b/>
          <w:sz w:val="26"/>
          <w:szCs w:val="26"/>
        </w:rPr>
        <w:t>u tham khảo:</w:t>
      </w:r>
    </w:p>
    <w:p w:rsidR="00A730C1" w:rsidRPr="004F551D" w:rsidRDefault="00A730C1" w:rsidP="004F551D">
      <w:pPr>
        <w:pStyle w:val="NormalWeb"/>
        <w:spacing w:before="0" w:beforeAutospacing="0" w:after="0" w:afterAutospacing="0" w:line="360" w:lineRule="auto"/>
        <w:rPr>
          <w:rStyle w:val="Emphasis"/>
          <w:sz w:val="26"/>
          <w:szCs w:val="26"/>
        </w:rPr>
      </w:pPr>
      <w:r w:rsidRPr="004F551D">
        <w:rPr>
          <w:rStyle w:val="Strong"/>
          <w:rFonts w:eastAsiaTheme="majorEastAsia"/>
          <w:b w:val="0"/>
          <w:sz w:val="26"/>
          <w:szCs w:val="26"/>
        </w:rPr>
        <w:t>1.Cục Thuế</w:t>
      </w:r>
      <w:r w:rsidRPr="004F551D">
        <w:rPr>
          <w:sz w:val="26"/>
          <w:szCs w:val="26"/>
        </w:rPr>
        <w:t xml:space="preserve"> (2026). </w:t>
      </w:r>
      <w:r w:rsidRPr="004F551D">
        <w:rPr>
          <w:rStyle w:val="whitespace-normal"/>
          <w:i/>
          <w:iCs/>
          <w:sz w:val="26"/>
          <w:szCs w:val="26"/>
        </w:rPr>
        <w:t>Thông báo 85/TB-CT ngày 29/1/2026</w:t>
      </w:r>
      <w:r w:rsidRPr="004F551D">
        <w:rPr>
          <w:rStyle w:val="Emphasis"/>
          <w:sz w:val="26"/>
          <w:szCs w:val="26"/>
        </w:rPr>
        <w:t xml:space="preserve"> về việc tuyên truyền, phổ biến chính sách thuế và quản lý thuế đối với hộ kinh doanh, cá nhân kinh doanh.</w:t>
      </w:r>
    </w:p>
    <w:p w:rsidR="00A730C1" w:rsidRPr="004F551D" w:rsidRDefault="00A730C1" w:rsidP="004F551D">
      <w:pPr>
        <w:pStyle w:val="NormalWeb"/>
        <w:spacing w:before="0" w:beforeAutospacing="0" w:after="0" w:afterAutospacing="0" w:line="360" w:lineRule="auto"/>
        <w:rPr>
          <w:i/>
          <w:sz w:val="26"/>
          <w:szCs w:val="26"/>
        </w:rPr>
      </w:pPr>
      <w:r w:rsidRPr="004F551D">
        <w:rPr>
          <w:rStyle w:val="whitespace-normal"/>
          <w:sz w:val="26"/>
          <w:szCs w:val="26"/>
        </w:rPr>
        <w:t xml:space="preserve">2. Bộ Tài Chính (2021). </w:t>
      </w:r>
      <w:r w:rsidRPr="004F551D">
        <w:rPr>
          <w:rStyle w:val="whitespace-normal"/>
          <w:i/>
          <w:sz w:val="26"/>
          <w:szCs w:val="26"/>
        </w:rPr>
        <w:t>Thông tư 40/2021/TT-BTC</w:t>
      </w:r>
      <w:r w:rsidRPr="004F551D">
        <w:rPr>
          <w:i/>
          <w:sz w:val="26"/>
          <w:szCs w:val="26"/>
        </w:rPr>
        <w:t xml:space="preserve"> ngày 01/6/2021 của Bộ Tài chính hướng dẫn thuế giá trị gia tăng, thuế thu nhập cá nhân đối với hộ kinh doanh, cá nhân kinh doanh.</w:t>
      </w:r>
    </w:p>
    <w:p w:rsidR="00A730C1" w:rsidRPr="004F551D" w:rsidRDefault="00A730C1" w:rsidP="004F551D">
      <w:pPr>
        <w:pStyle w:val="NormalWeb"/>
        <w:spacing w:before="0" w:beforeAutospacing="0" w:after="0" w:afterAutospacing="0" w:line="360" w:lineRule="auto"/>
        <w:rPr>
          <w:i/>
          <w:sz w:val="26"/>
          <w:szCs w:val="26"/>
        </w:rPr>
      </w:pPr>
      <w:r w:rsidRPr="004F551D">
        <w:rPr>
          <w:color w:val="000000"/>
          <w:sz w:val="26"/>
          <w:szCs w:val="26"/>
          <w:shd w:val="clear" w:color="auto" w:fill="FFFFFF"/>
        </w:rPr>
        <w:t xml:space="preserve">3. Quốc Hội (2019). </w:t>
      </w:r>
      <w:r w:rsidRPr="004F551D">
        <w:rPr>
          <w:i/>
          <w:color w:val="000000"/>
          <w:sz w:val="26"/>
          <w:szCs w:val="26"/>
          <w:shd w:val="clear" w:color="auto" w:fill="FFFFFF"/>
        </w:rPr>
        <w:t>Luật số: 38/2019 về quản lý thuế 2019 ngày 13/6/2019.</w:t>
      </w:r>
    </w:p>
    <w:p w:rsidR="00067E59" w:rsidRPr="004F551D" w:rsidRDefault="00067E59" w:rsidP="00067E59">
      <w:pPr>
        <w:pStyle w:val="NormalWeb"/>
        <w:ind w:left="360"/>
        <w:jc w:val="both"/>
        <w:rPr>
          <w:sz w:val="26"/>
          <w:szCs w:val="26"/>
        </w:rPr>
      </w:pPr>
    </w:p>
    <w:sectPr w:rsidR="00067E59" w:rsidRPr="004F551D" w:rsidSect="0076151B">
      <w:pgSz w:w="11906" w:h="16838"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7471"/>
    <w:multiLevelType w:val="hybridMultilevel"/>
    <w:tmpl w:val="C3D8E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A8"/>
    <w:rsid w:val="000373BC"/>
    <w:rsid w:val="00037D2B"/>
    <w:rsid w:val="00057881"/>
    <w:rsid w:val="00067E59"/>
    <w:rsid w:val="000730EA"/>
    <w:rsid w:val="0008740B"/>
    <w:rsid w:val="00153663"/>
    <w:rsid w:val="002548E5"/>
    <w:rsid w:val="00276BBF"/>
    <w:rsid w:val="00391204"/>
    <w:rsid w:val="004F551D"/>
    <w:rsid w:val="0050689B"/>
    <w:rsid w:val="005A3A13"/>
    <w:rsid w:val="005B59E9"/>
    <w:rsid w:val="006C5206"/>
    <w:rsid w:val="00710245"/>
    <w:rsid w:val="00743BD8"/>
    <w:rsid w:val="0076151B"/>
    <w:rsid w:val="007A73CC"/>
    <w:rsid w:val="008156C6"/>
    <w:rsid w:val="009729F6"/>
    <w:rsid w:val="00A306E3"/>
    <w:rsid w:val="00A46822"/>
    <w:rsid w:val="00A730C1"/>
    <w:rsid w:val="00B304A8"/>
    <w:rsid w:val="00BD4287"/>
    <w:rsid w:val="00C84A89"/>
    <w:rsid w:val="00CE726A"/>
    <w:rsid w:val="00D403DC"/>
    <w:rsid w:val="00D45114"/>
    <w:rsid w:val="00D7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B2E3"/>
  <w15:chartTrackingRefBased/>
  <w15:docId w15:val="{D0A7BAAB-7734-4336-9AB4-0CB2D33F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A8"/>
    <w:pPr>
      <w:ind w:left="720"/>
      <w:contextualSpacing/>
    </w:pPr>
  </w:style>
  <w:style w:type="paragraph" w:styleId="NormalWeb">
    <w:name w:val="Normal (Web)"/>
    <w:basedOn w:val="Normal"/>
    <w:uiPriority w:val="99"/>
    <w:unhideWhenUsed/>
    <w:rsid w:val="00B304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3BD8"/>
    <w:rPr>
      <w:b/>
      <w:bCs/>
    </w:rPr>
  </w:style>
  <w:style w:type="character" w:styleId="Emphasis">
    <w:name w:val="Emphasis"/>
    <w:basedOn w:val="DefaultParagraphFont"/>
    <w:uiPriority w:val="20"/>
    <w:qFormat/>
    <w:rsid w:val="00A730C1"/>
    <w:rPr>
      <w:i/>
      <w:iCs/>
    </w:rPr>
  </w:style>
  <w:style w:type="character" w:customStyle="1" w:styleId="whitespace-normal">
    <w:name w:val="whitespace-normal"/>
    <w:basedOn w:val="DefaultParagraphFont"/>
    <w:rsid w:val="00A7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2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2026-03-08T01:25:00Z</dcterms:created>
  <dcterms:modified xsi:type="dcterms:W3CDTF">2026-03-08T01:33:00Z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2dc16a59-16b4-4401-a07a-764e27085937</vt:lpwstr>
  </property>
</Properties>
</file>