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205" w:rsidRPr="00F02205" w:rsidRDefault="00F02205" w:rsidP="00F02205">
      <w:pPr>
        <w:spacing w:after="0" w:line="240" w:lineRule="auto"/>
        <w:jc w:val="center"/>
        <w:outlineLvl w:val="1"/>
        <w:rPr>
          <w:rFonts w:ascii="Times New Roman" w:eastAsia="Times New Roman" w:hAnsi="Times New Roman" w:cs="Times New Roman"/>
          <w:b/>
          <w:bCs/>
          <w:color w:val="000000" w:themeColor="text1"/>
          <w:kern w:val="0"/>
          <w:sz w:val="26"/>
          <w:szCs w:val="26"/>
          <w:lang w:val="vi-VN"/>
          <w14:ligatures w14:val="none"/>
        </w:rPr>
      </w:pPr>
      <w:r w:rsidRPr="00F02205">
        <w:rPr>
          <w:rFonts w:ascii="Times New Roman" w:eastAsia="Times New Roman" w:hAnsi="Times New Roman" w:cs="Times New Roman"/>
          <w:b/>
          <w:bCs/>
          <w:color w:val="000000" w:themeColor="text1"/>
          <w:kern w:val="0"/>
          <w:sz w:val="26"/>
          <w:szCs w:val="26"/>
          <w:lang w:val="vi-VN"/>
          <w14:ligatures w14:val="none"/>
        </w:rPr>
        <w:t>MỘT SỐ QUY ĐỊNH XỬ PHẠT VỀ THUẾ</w:t>
      </w:r>
    </w:p>
    <w:p w:rsidR="00F02205" w:rsidRPr="00F02205" w:rsidRDefault="00F02205" w:rsidP="00F02205">
      <w:pPr>
        <w:spacing w:after="0" w:line="240" w:lineRule="auto"/>
        <w:jc w:val="center"/>
        <w:outlineLvl w:val="1"/>
        <w:rPr>
          <w:rFonts w:ascii="Times New Roman" w:eastAsia="Times New Roman" w:hAnsi="Times New Roman" w:cs="Times New Roman"/>
          <w:b/>
          <w:bCs/>
          <w:color w:val="000000" w:themeColor="text1"/>
          <w:kern w:val="0"/>
          <w:sz w:val="26"/>
          <w:szCs w:val="26"/>
          <w:lang w:val="vi-VN"/>
          <w14:ligatures w14:val="none"/>
        </w:rPr>
      </w:pPr>
      <w:r w:rsidRPr="00F02205">
        <w:rPr>
          <w:rFonts w:ascii="Times New Roman" w:eastAsia="Times New Roman" w:hAnsi="Times New Roman" w:cs="Times New Roman"/>
          <w:b/>
          <w:bCs/>
          <w:color w:val="000000" w:themeColor="text1"/>
          <w:kern w:val="0"/>
          <w:sz w:val="26"/>
          <w:szCs w:val="26"/>
          <w:lang w:val="vi-VN"/>
          <w14:ligatures w14:val="none"/>
        </w:rPr>
        <w:t>Đinh Thị Thu Hiền</w:t>
      </w:r>
    </w:p>
    <w:p w:rsidR="00F02205" w:rsidRPr="00F02205" w:rsidRDefault="00F02205" w:rsidP="00F02205">
      <w:pPr>
        <w:spacing w:after="0" w:line="240" w:lineRule="auto"/>
        <w:jc w:val="both"/>
        <w:outlineLvl w:val="1"/>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1. Khái niệm vi phạm hành chính về thuế</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i/>
          <w:iCs/>
          <w:color w:val="000000" w:themeColor="text1"/>
          <w:kern w:val="0"/>
          <w:sz w:val="26"/>
          <w:szCs w:val="26"/>
          <w14:ligatures w14:val="none"/>
        </w:rPr>
        <w:t>Sửa đổi, bổ sung khoản 1; bổ sung khoản 10 vào Điều 2 như sau:</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Vi phạm hành chính về thuế </w:t>
      </w:r>
      <w:r w:rsidRPr="00F02205">
        <w:rPr>
          <w:rFonts w:ascii="Times New Roman" w:eastAsia="Times New Roman" w:hAnsi="Times New Roman" w:cs="Times New Roman"/>
          <w:b/>
          <w:bCs/>
          <w:i/>
          <w:iCs/>
          <w:color w:val="000000" w:themeColor="text1"/>
          <w:kern w:val="0"/>
          <w:sz w:val="26"/>
          <w:szCs w:val="26"/>
          <w14:ligatures w14:val="none"/>
        </w:rPr>
        <w:t>là hành vi có lỗi do tổ chức, cá nhân thực hiện vi phạm</w:t>
      </w:r>
      <w:r w:rsidRPr="00F02205">
        <w:rPr>
          <w:rFonts w:ascii="Times New Roman" w:eastAsia="Times New Roman" w:hAnsi="Times New Roman" w:cs="Times New Roman"/>
          <w:color w:val="000000" w:themeColor="text1"/>
          <w:kern w:val="0"/>
          <w:sz w:val="26"/>
          <w:szCs w:val="26"/>
          <w14:ligatures w14:val="none"/>
        </w:rPr>
        <w:t> quy định của pháp luật về quản lý thuế, pháp luật về thuế và các khoản thu khác thuộc ngân sách nhà nước do cơ quan quản lý thuế quản lý thu (tiền sử dụng đất; tiền thuê đất, thuê mặt nước; tiền cấp quyền khai thác khoáng sản; tiền cấp quyền khai thác tài nguyên nước;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 các khoản thu theo quy định pháp luật về quản lý và đầu tư vốn nhà nước tại doanh nghiệp) </w:t>
      </w:r>
      <w:r w:rsidRPr="00F02205">
        <w:rPr>
          <w:rFonts w:ascii="Times New Roman" w:eastAsia="Times New Roman" w:hAnsi="Times New Roman" w:cs="Times New Roman"/>
          <w:b/>
          <w:bCs/>
          <w:i/>
          <w:iCs/>
          <w:color w:val="000000" w:themeColor="text1"/>
          <w:kern w:val="0"/>
          <w:sz w:val="26"/>
          <w:szCs w:val="26"/>
          <w14:ligatures w14:val="none"/>
        </w:rPr>
        <w:t>mà không phải là tội phạm</w:t>
      </w:r>
      <w:r w:rsidRPr="00F02205">
        <w:rPr>
          <w:rFonts w:ascii="Times New Roman" w:eastAsia="Times New Roman" w:hAnsi="Times New Roman" w:cs="Times New Roman"/>
          <w:color w:val="000000" w:themeColor="text1"/>
          <w:kern w:val="0"/>
          <w:sz w:val="26"/>
          <w:szCs w:val="26"/>
          <w14:ligatures w14:val="none"/>
        </w:rPr>
        <w:t> và theo quy định của pháp luật phải bị xử phạt vi phạm hành chính.</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Căn cứ pháp lý:</w:t>
      </w:r>
      <w:r w:rsidRPr="00F02205">
        <w:rPr>
          <w:rFonts w:ascii="Times New Roman" w:eastAsia="Times New Roman" w:hAnsi="Times New Roman" w:cs="Times New Roman"/>
          <w:color w:val="000000" w:themeColor="text1"/>
          <w:kern w:val="0"/>
          <w:sz w:val="26"/>
          <w:szCs w:val="26"/>
          <w14:ligatures w14:val="none"/>
        </w:rPr>
        <w:t> Điểm a, Khoản 1 Điều 1 - Nghị định 310/2025/NĐ-CP.</w:t>
      </w:r>
    </w:p>
    <w:p w:rsidR="00F02205" w:rsidRPr="00F02205" w:rsidRDefault="00F02205" w:rsidP="00F02205">
      <w:pPr>
        <w:spacing w:after="0" w:line="240" w:lineRule="auto"/>
        <w:jc w:val="both"/>
        <w:outlineLvl w:val="1"/>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2. Giải thích trường hợp bất khả kháng</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Lần đầu tiên được quy định rõ trong NĐ 310/2025. Các trường hợp bất khả kháng bao gồm: thiên tai, thảm họa, dịch bệnh, hỏa hoạn, tai nạn bất ngờ, chiến tranh, bạo loạn, đình công hoặc sự kiện xảy ra một cách khách quan không thể lường trước được và người nộp thuế không thể khắc phục được mặc dù đã áp dụng mọi biện pháp cần thiết và khả năng cho phép.</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Căn cứ pháp lý:</w:t>
      </w:r>
      <w:r w:rsidRPr="00F02205">
        <w:rPr>
          <w:rFonts w:ascii="Times New Roman" w:eastAsia="Times New Roman" w:hAnsi="Times New Roman" w:cs="Times New Roman"/>
          <w:color w:val="000000" w:themeColor="text1"/>
          <w:kern w:val="0"/>
          <w:sz w:val="26"/>
          <w:szCs w:val="26"/>
          <w14:ligatures w14:val="none"/>
        </w:rPr>
        <w:t> Điểm b, Khoản 1 Điều 1 - Nghị định 310/2025/NĐ-CP.</w:t>
      </w:r>
    </w:p>
    <w:p w:rsidR="00F02205" w:rsidRPr="00F02205" w:rsidRDefault="00F02205" w:rsidP="00F02205">
      <w:pPr>
        <w:spacing w:after="0" w:line="240" w:lineRule="auto"/>
        <w:jc w:val="both"/>
        <w:outlineLvl w:val="1"/>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3. Đối tượng bị xử phạt</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i/>
          <w:iCs/>
          <w:color w:val="000000" w:themeColor="text1"/>
          <w:kern w:val="0"/>
          <w:sz w:val="26"/>
          <w:szCs w:val="26"/>
          <w14:ligatures w14:val="none"/>
        </w:rPr>
        <w:t>Sửa đổi, bổ sung điểm a khoản 1 Điều 3 như sau:</w:t>
      </w:r>
    </w:p>
    <w:p w:rsidR="00F02205" w:rsidRPr="00F02205" w:rsidRDefault="00F02205" w:rsidP="00F02205">
      <w:pPr>
        <w:numPr>
          <w:ilvl w:val="0"/>
          <w:numId w:val="1"/>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người nộp thuế ủy quyền cho tổ chức, cá nhân khác thực hiện các nghĩa vụ về thuế mà pháp luật về thuế, quản lý thuế quy định nghĩa vụ, trách nhiệm của bên được ủy quyền phải thực hiện thay người nộp thuế thì nếu bên được ủy quyền có hành vi vi phạm hành chính quy định tại Nghị định này </w:t>
      </w:r>
      <w:r w:rsidRPr="00F02205">
        <w:rPr>
          <w:rFonts w:ascii="Times New Roman" w:eastAsia="Times New Roman" w:hAnsi="Times New Roman" w:cs="Times New Roman"/>
          <w:b/>
          <w:bCs/>
          <w:i/>
          <w:iCs/>
          <w:color w:val="000000" w:themeColor="text1"/>
          <w:kern w:val="0"/>
          <w:sz w:val="26"/>
          <w:szCs w:val="26"/>
          <w14:ligatures w14:val="none"/>
        </w:rPr>
        <w:t>thì tổ chức, cá nhân được ủy quyền bị xử phạt</w:t>
      </w:r>
      <w:r w:rsidRPr="00F02205">
        <w:rPr>
          <w:rFonts w:ascii="Times New Roman" w:eastAsia="Times New Roman" w:hAnsi="Times New Roman" w:cs="Times New Roman"/>
          <w:color w:val="000000" w:themeColor="text1"/>
          <w:kern w:val="0"/>
          <w:sz w:val="26"/>
          <w:szCs w:val="26"/>
          <w14:ligatures w14:val="none"/>
        </w:rPr>
        <w:t> theo Nghị định này.</w:t>
      </w:r>
    </w:p>
    <w:p w:rsidR="00F02205" w:rsidRPr="00F02205" w:rsidRDefault="00F02205" w:rsidP="00F02205">
      <w:pPr>
        <w:numPr>
          <w:ilvl w:val="0"/>
          <w:numId w:val="1"/>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theo quy định của pháp luật về thuế và quản lý thuế, tổ chức, cá nhân có nghĩa vụ đăng ký thuế, khai, nộp thuế thay người nộp thuế mà tổ chức, cá nhân đăng ký thuế, khai, nộp thuế thay có hành vi vi phạm hành chính quy định tại Nghị định này thì </w:t>
      </w:r>
      <w:r w:rsidRPr="00F02205">
        <w:rPr>
          <w:rFonts w:ascii="Times New Roman" w:eastAsia="Times New Roman" w:hAnsi="Times New Roman" w:cs="Times New Roman"/>
          <w:b/>
          <w:bCs/>
          <w:i/>
          <w:iCs/>
          <w:color w:val="000000" w:themeColor="text1"/>
          <w:kern w:val="0"/>
          <w:sz w:val="26"/>
          <w:szCs w:val="26"/>
          <w14:ligatures w14:val="none"/>
        </w:rPr>
        <w:t>tổ chức, cá nhân đăng ký thuế, khai, nộp thuế thay bị xử phạt vi phạm hành chính về thuế</w:t>
      </w:r>
      <w:r w:rsidRPr="00F02205">
        <w:rPr>
          <w:rFonts w:ascii="Times New Roman" w:eastAsia="Times New Roman" w:hAnsi="Times New Roman" w:cs="Times New Roman"/>
          <w:color w:val="000000" w:themeColor="text1"/>
          <w:kern w:val="0"/>
          <w:sz w:val="26"/>
          <w:szCs w:val="26"/>
          <w14:ligatures w14:val="none"/>
        </w:rPr>
        <w:t> theo quy định tại Nghị định này.</w:t>
      </w:r>
    </w:p>
    <w:p w:rsidR="00F02205" w:rsidRPr="00F02205" w:rsidRDefault="00F02205" w:rsidP="00F02205">
      <w:pPr>
        <w:numPr>
          <w:ilvl w:val="0"/>
          <w:numId w:val="1"/>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theo quy định chống xói mòn cơ sở thuế toàn cầu, </w:t>
      </w:r>
      <w:r w:rsidRPr="00F02205">
        <w:rPr>
          <w:rFonts w:ascii="Times New Roman" w:eastAsia="Times New Roman" w:hAnsi="Times New Roman" w:cs="Times New Roman"/>
          <w:b/>
          <w:bCs/>
          <w:i/>
          <w:iCs/>
          <w:color w:val="000000" w:themeColor="text1"/>
          <w:kern w:val="0"/>
          <w:sz w:val="26"/>
          <w:szCs w:val="26"/>
          <w14:ligatures w14:val="none"/>
        </w:rPr>
        <w:t>đơn vị hợp thành chịu trách nhiệm kê khai</w:t>
      </w:r>
      <w:r w:rsidRPr="00F02205">
        <w:rPr>
          <w:rFonts w:ascii="Times New Roman" w:eastAsia="Times New Roman" w:hAnsi="Times New Roman" w:cs="Times New Roman"/>
          <w:color w:val="000000" w:themeColor="text1"/>
          <w:kern w:val="0"/>
          <w:sz w:val="26"/>
          <w:szCs w:val="26"/>
          <w14:ligatures w14:val="none"/>
        </w:rPr>
        <w:t> có nghĩa vụ đăng ký thuế, nộp hồ sơ khai thuế và nộp thuế thu nhập doanh nghiệp bổ sung, đơn vị hợp thành được Tập đoàn giao trách nhiệm gửi thông báo đơn vị hợp thành </w:t>
      </w:r>
      <w:r w:rsidRPr="00F02205">
        <w:rPr>
          <w:rFonts w:ascii="Times New Roman" w:eastAsia="Times New Roman" w:hAnsi="Times New Roman" w:cs="Times New Roman"/>
          <w:b/>
          <w:bCs/>
          <w:i/>
          <w:iCs/>
          <w:color w:val="000000" w:themeColor="text1"/>
          <w:kern w:val="0"/>
          <w:sz w:val="26"/>
          <w:szCs w:val="26"/>
          <w14:ligatures w14:val="none"/>
        </w:rPr>
        <w:t>chịu trách nhiệm kê khai và danh sách các đơn vị hợp thành thuộc đối tượng áp dụng</w:t>
      </w:r>
      <w:r w:rsidRPr="00F02205">
        <w:rPr>
          <w:rFonts w:ascii="Times New Roman" w:eastAsia="Times New Roman" w:hAnsi="Times New Roman" w:cs="Times New Roman"/>
          <w:color w:val="000000" w:themeColor="text1"/>
          <w:kern w:val="0"/>
          <w:sz w:val="26"/>
          <w:szCs w:val="26"/>
          <w14:ligatures w14:val="none"/>
        </w:rPr>
        <w:t> Nghị quyết số 107/2023/QH15 có hành vi vi phạm hành chính tại Nghị định này thì bị xử phạt theo quy định tại Nghị định này.</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Căn cứ pháp lý:</w:t>
      </w:r>
      <w:r w:rsidRPr="00F02205">
        <w:rPr>
          <w:rFonts w:ascii="Times New Roman" w:eastAsia="Times New Roman" w:hAnsi="Times New Roman" w:cs="Times New Roman"/>
          <w:color w:val="000000" w:themeColor="text1"/>
          <w:kern w:val="0"/>
          <w:sz w:val="26"/>
          <w:szCs w:val="26"/>
          <w14:ligatures w14:val="none"/>
        </w:rPr>
        <w:t> Điểm a, Khoản 2 Điều 1 - Nghị định 310/2025/NĐ-CP.</w:t>
      </w:r>
    </w:p>
    <w:p w:rsidR="00F02205" w:rsidRPr="00F02205" w:rsidRDefault="00F02205" w:rsidP="00F02205">
      <w:pPr>
        <w:spacing w:after="0" w:line="240" w:lineRule="auto"/>
        <w:jc w:val="both"/>
        <w:outlineLvl w:val="1"/>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4. Nguyên tắc xử phạt vi phạm hành chính về thuế, hóa đơn</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i/>
          <w:iCs/>
          <w:color w:val="000000" w:themeColor="text1"/>
          <w:kern w:val="0"/>
          <w:sz w:val="26"/>
          <w:szCs w:val="26"/>
          <w14:ligatures w14:val="none"/>
        </w:rPr>
        <w:t>Sửa đổi điểm a, b, c khoản 3; bổ sung điểm đ, e, g vào khoản 3 Điều 5 như sau:</w:t>
      </w:r>
    </w:p>
    <w:p w:rsidR="00F02205" w:rsidRPr="00F02205" w:rsidRDefault="00F02205" w:rsidP="00F02205">
      <w:pPr>
        <w:numPr>
          <w:ilvl w:val="0"/>
          <w:numId w:val="2"/>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lastRenderedPageBreak/>
        <w:t>Trường hợp cùng một ngày người nộp thuế </w:t>
      </w:r>
      <w:r w:rsidRPr="00F02205">
        <w:rPr>
          <w:rFonts w:ascii="Times New Roman" w:eastAsia="Times New Roman" w:hAnsi="Times New Roman" w:cs="Times New Roman"/>
          <w:b/>
          <w:bCs/>
          <w:i/>
          <w:iCs/>
          <w:color w:val="000000" w:themeColor="text1"/>
          <w:kern w:val="0"/>
          <w:sz w:val="26"/>
          <w:szCs w:val="26"/>
          <w14:ligatures w14:val="none"/>
        </w:rPr>
        <w:t>khai sai một hoặc nhiều chỉ tiêu trên các hồ sơ thuế</w:t>
      </w:r>
      <w:r w:rsidRPr="00F02205">
        <w:rPr>
          <w:rFonts w:ascii="Times New Roman" w:eastAsia="Times New Roman" w:hAnsi="Times New Roman" w:cs="Times New Roman"/>
          <w:color w:val="000000" w:themeColor="text1"/>
          <w:kern w:val="0"/>
          <w:sz w:val="26"/>
          <w:szCs w:val="26"/>
          <w14:ligatures w14:val="none"/>
        </w:rPr>
        <w:t> thì hành vi khai sai thuộc trường hợp xử phạt về thủ tục thuế </w:t>
      </w:r>
      <w:r w:rsidRPr="00F02205">
        <w:rPr>
          <w:rFonts w:ascii="Times New Roman" w:eastAsia="Times New Roman" w:hAnsi="Times New Roman" w:cs="Times New Roman"/>
          <w:b/>
          <w:bCs/>
          <w:i/>
          <w:iCs/>
          <w:color w:val="000000" w:themeColor="text1"/>
          <w:kern w:val="0"/>
          <w:sz w:val="26"/>
          <w:szCs w:val="26"/>
          <w14:ligatures w14:val="none"/>
        </w:rPr>
        <w:t>chỉ bị xử phạt về một hành vi khai sai chỉ tiêu trên hồ sơ thuế</w:t>
      </w:r>
      <w:r w:rsidRPr="00F02205">
        <w:rPr>
          <w:rFonts w:ascii="Times New Roman" w:eastAsia="Times New Roman" w:hAnsi="Times New Roman" w:cs="Times New Roman"/>
          <w:color w:val="000000" w:themeColor="text1"/>
          <w:kern w:val="0"/>
          <w:sz w:val="26"/>
          <w:szCs w:val="26"/>
          <w14:ligatures w14:val="none"/>
        </w:rPr>
        <w:t> có khung phạt tiền cao nhất trong số các hành vi đã thực hiện theo quy định tại Nghị định này.</w:t>
      </w:r>
    </w:p>
    <w:p w:rsidR="00F02205" w:rsidRPr="00F02205" w:rsidRDefault="00F02205" w:rsidP="00F02205">
      <w:pPr>
        <w:numPr>
          <w:ilvl w:val="0"/>
          <w:numId w:val="2"/>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cùng một ngày người nộp thuế chậm nộp nhiều hồ sơ khai thuế của cùng một sắc thuế thì </w:t>
      </w:r>
      <w:r w:rsidRPr="00F02205">
        <w:rPr>
          <w:rFonts w:ascii="Times New Roman" w:eastAsia="Times New Roman" w:hAnsi="Times New Roman" w:cs="Times New Roman"/>
          <w:b/>
          <w:bCs/>
          <w:i/>
          <w:iCs/>
          <w:color w:val="000000" w:themeColor="text1"/>
          <w:kern w:val="0"/>
          <w:sz w:val="26"/>
          <w:szCs w:val="26"/>
          <w14:ligatures w14:val="none"/>
        </w:rPr>
        <w:t>chỉ bị xử phạt về một hành vi chậm nộp hồ sơ khai thuế có khung phạt tiền cao nhất</w:t>
      </w:r>
      <w:r w:rsidRPr="00F02205">
        <w:rPr>
          <w:rFonts w:ascii="Times New Roman" w:eastAsia="Times New Roman" w:hAnsi="Times New Roman" w:cs="Times New Roman"/>
          <w:color w:val="000000" w:themeColor="text1"/>
          <w:kern w:val="0"/>
          <w:sz w:val="26"/>
          <w:szCs w:val="26"/>
          <w14:ligatures w14:val="none"/>
        </w:rPr>
        <w:t> trong số các hành vi đã thực hiện theo quy định tại Nghị định này.</w:t>
      </w:r>
    </w:p>
    <w:p w:rsidR="00F02205" w:rsidRPr="00F02205" w:rsidRDefault="00F02205" w:rsidP="00F02205">
      <w:pPr>
        <w:numPr>
          <w:ilvl w:val="0"/>
          <w:numId w:val="2"/>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trong số hồ sơ khai thuế chậm nộp có hồ sơ khai thuế chậm nộp thuộc trường hợp trốn thuế thì tách riêng để xử phạt về hành vi trốn thuế.</w:t>
      </w:r>
    </w:p>
    <w:p w:rsidR="00F02205" w:rsidRPr="00F02205" w:rsidRDefault="00F02205" w:rsidP="00F02205">
      <w:pPr>
        <w:numPr>
          <w:ilvl w:val="0"/>
          <w:numId w:val="2"/>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cùng một ngày người nộp thuế chậm nộp nhiều thông báo, báo cáo cùng loại về hóa đơn thì người nộp thuế bị xử phạt về một hành vi chậm nộp thông báo, báo cáo về hóa đơn có khung phạt tiền cao nhất trong số các hành vi đã thực hiện quy định tại Nghị định này.</w:t>
      </w:r>
    </w:p>
    <w:p w:rsidR="00F02205" w:rsidRPr="00F02205" w:rsidRDefault="00F02205" w:rsidP="00F02205">
      <w:pPr>
        <w:numPr>
          <w:ilvl w:val="0"/>
          <w:numId w:val="2"/>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người nộp thuế </w:t>
      </w:r>
      <w:r w:rsidRPr="00F02205">
        <w:rPr>
          <w:rFonts w:ascii="Times New Roman" w:eastAsia="Times New Roman" w:hAnsi="Times New Roman" w:cs="Times New Roman"/>
          <w:b/>
          <w:bCs/>
          <w:i/>
          <w:iCs/>
          <w:color w:val="000000" w:themeColor="text1"/>
          <w:kern w:val="0"/>
          <w:sz w:val="26"/>
          <w:szCs w:val="26"/>
          <w14:ligatures w14:val="none"/>
        </w:rPr>
        <w:t>thực hiện nhiều hành vi lập hóa đơn không đúng thời điểm</w:t>
      </w:r>
      <w:r w:rsidRPr="00F02205">
        <w:rPr>
          <w:rFonts w:ascii="Times New Roman" w:eastAsia="Times New Roman" w:hAnsi="Times New Roman" w:cs="Times New Roman"/>
          <w:color w:val="000000" w:themeColor="text1"/>
          <w:kern w:val="0"/>
          <w:sz w:val="26"/>
          <w:szCs w:val="26"/>
          <w14:ligatures w14:val="none"/>
        </w:rPr>
        <w:t>, các hành vi vi phạm còn trong thời hiệu xử phạt và </w:t>
      </w:r>
      <w:r w:rsidRPr="00F02205">
        <w:rPr>
          <w:rFonts w:ascii="Times New Roman" w:eastAsia="Times New Roman" w:hAnsi="Times New Roman" w:cs="Times New Roman"/>
          <w:b/>
          <w:bCs/>
          <w:i/>
          <w:iCs/>
          <w:color w:val="000000" w:themeColor="text1"/>
          <w:kern w:val="0"/>
          <w:sz w:val="26"/>
          <w:szCs w:val="26"/>
          <w14:ligatures w14:val="none"/>
        </w:rPr>
        <w:t>bị xử phạt trong một vụ việc vi phạm hành chính</w:t>
      </w:r>
      <w:r w:rsidRPr="00F02205">
        <w:rPr>
          <w:rFonts w:ascii="Times New Roman" w:eastAsia="Times New Roman" w:hAnsi="Times New Roman" w:cs="Times New Roman"/>
          <w:color w:val="000000" w:themeColor="text1"/>
          <w:kern w:val="0"/>
          <w:sz w:val="26"/>
          <w:szCs w:val="26"/>
          <w14:ligatures w14:val="none"/>
        </w:rPr>
        <w:t> thì </w:t>
      </w:r>
      <w:r w:rsidRPr="00F02205">
        <w:rPr>
          <w:rFonts w:ascii="Times New Roman" w:eastAsia="Times New Roman" w:hAnsi="Times New Roman" w:cs="Times New Roman"/>
          <w:b/>
          <w:bCs/>
          <w:i/>
          <w:iCs/>
          <w:color w:val="000000" w:themeColor="text1"/>
          <w:kern w:val="0"/>
          <w:sz w:val="26"/>
          <w:szCs w:val="26"/>
          <w14:ligatures w14:val="none"/>
        </w:rPr>
        <w:t>chỉ bị xử phạt về một hành vi lập hóa đơn không đúng thời điểm có khung tiền phạt tương ứng với số lượng hóa đơn đã lập không đúng thời điểm</w:t>
      </w:r>
      <w:r w:rsidRPr="00F02205">
        <w:rPr>
          <w:rFonts w:ascii="Times New Roman" w:eastAsia="Times New Roman" w:hAnsi="Times New Roman" w:cs="Times New Roman"/>
          <w:color w:val="000000" w:themeColor="text1"/>
          <w:kern w:val="0"/>
          <w:sz w:val="26"/>
          <w:szCs w:val="26"/>
          <w14:ligatures w14:val="none"/>
        </w:rPr>
        <w:t> theo quy định tại khoản 2 Điều 24 Nghị định này.</w:t>
      </w:r>
    </w:p>
    <w:p w:rsidR="00F02205" w:rsidRPr="00F02205" w:rsidRDefault="00F02205" w:rsidP="00F02205">
      <w:pPr>
        <w:numPr>
          <w:ilvl w:val="0"/>
          <w:numId w:val="2"/>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người nộp thuế </w:t>
      </w:r>
      <w:r w:rsidRPr="00F02205">
        <w:rPr>
          <w:rFonts w:ascii="Times New Roman" w:eastAsia="Times New Roman" w:hAnsi="Times New Roman" w:cs="Times New Roman"/>
          <w:b/>
          <w:bCs/>
          <w:i/>
          <w:iCs/>
          <w:color w:val="000000" w:themeColor="text1"/>
          <w:kern w:val="0"/>
          <w:sz w:val="26"/>
          <w:szCs w:val="26"/>
          <w14:ligatures w14:val="none"/>
        </w:rPr>
        <w:t>thực hiện nhiều hành vi không lập hóa đơn</w:t>
      </w:r>
      <w:r w:rsidRPr="00F02205">
        <w:rPr>
          <w:rFonts w:ascii="Times New Roman" w:eastAsia="Times New Roman" w:hAnsi="Times New Roman" w:cs="Times New Roman"/>
          <w:color w:val="000000" w:themeColor="text1"/>
          <w:kern w:val="0"/>
          <w:sz w:val="26"/>
          <w:szCs w:val="26"/>
          <w14:ligatures w14:val="none"/>
        </w:rPr>
        <w:t>, các hành vi vi phạm còn trong thời hiệu xử phạt và </w:t>
      </w:r>
      <w:r w:rsidRPr="00F02205">
        <w:rPr>
          <w:rFonts w:ascii="Times New Roman" w:eastAsia="Times New Roman" w:hAnsi="Times New Roman" w:cs="Times New Roman"/>
          <w:b/>
          <w:bCs/>
          <w:i/>
          <w:iCs/>
          <w:color w:val="000000" w:themeColor="text1"/>
          <w:kern w:val="0"/>
          <w:sz w:val="26"/>
          <w:szCs w:val="26"/>
          <w14:ligatures w14:val="none"/>
        </w:rPr>
        <w:t>bị xử phạt trong một vụ việc vi phạm hành chính thì chỉ bị xử phạt về một hành vi không lập hóa đơn có khung tiền phạt tương ứng với số lượng hóa đơn đã lập không đúng thời điểm</w:t>
      </w:r>
      <w:r w:rsidRPr="00F02205">
        <w:rPr>
          <w:rFonts w:ascii="Times New Roman" w:eastAsia="Times New Roman" w:hAnsi="Times New Roman" w:cs="Times New Roman"/>
          <w:color w:val="000000" w:themeColor="text1"/>
          <w:kern w:val="0"/>
          <w:sz w:val="26"/>
          <w:szCs w:val="26"/>
          <w14:ligatures w14:val="none"/>
        </w:rPr>
        <w:t> theo quy định tại khoản 3 Điều 24 Nghị định này.</w:t>
      </w:r>
    </w:p>
    <w:p w:rsidR="00F02205" w:rsidRPr="00F02205" w:rsidRDefault="00F02205" w:rsidP="00F02205">
      <w:pPr>
        <w:numPr>
          <w:ilvl w:val="0"/>
          <w:numId w:val="2"/>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người nộp thuế khai sai nhiều chỉ tiêu trên một hồ sơ thuế thuộc trường hợp bị xử phạt về thủ tục thuế thì chỉ bị xử phạt về một hành vi khai sai chỉ tiêu trên hồ sơ thuế có khung tiền phạt cao nhất trong số các hành vi đã thực hiện theo quy định tại Nghị định này.</w:t>
      </w:r>
    </w:p>
    <w:p w:rsidR="00F02205" w:rsidRPr="00F02205" w:rsidRDefault="00F02205" w:rsidP="00F02205">
      <w:pPr>
        <w:numPr>
          <w:ilvl w:val="0"/>
          <w:numId w:val="2"/>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Trường hợp người nộp thuế khai sai nhiều chỉ tiêu trên một hồ sơ thuế vừa thuộc trường hợp bị xử phạt về thủ tục thuế, vừa thuộc trường hợp bị xử phạt theo Điều 16 hoặc Điều 17 Nghị định này thì chỉ bị xử phạt về một hành vi theo Điều 16 hoặc Điều 17 Nghị định này.</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Căn cứ pháp lý:</w:t>
      </w:r>
      <w:r w:rsidRPr="00F02205">
        <w:rPr>
          <w:rFonts w:ascii="Times New Roman" w:eastAsia="Times New Roman" w:hAnsi="Times New Roman" w:cs="Times New Roman"/>
          <w:color w:val="000000" w:themeColor="text1"/>
          <w:kern w:val="0"/>
          <w:sz w:val="26"/>
          <w:szCs w:val="26"/>
          <w14:ligatures w14:val="none"/>
        </w:rPr>
        <w:t> Khoản 3 Điều 1 - Nghị định 310/2025/NĐ-CP.</w:t>
      </w:r>
    </w:p>
    <w:p w:rsidR="00F02205" w:rsidRPr="00F02205" w:rsidRDefault="00F02205" w:rsidP="00F02205">
      <w:pPr>
        <w:spacing w:after="0" w:line="240" w:lineRule="auto"/>
        <w:jc w:val="both"/>
        <w:outlineLvl w:val="1"/>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5. Tình tiết giảm nhẹ, tình tiết tăng nặng trong lĩnh vực thuế, hóa đơn</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i/>
          <w:iCs/>
          <w:color w:val="000000" w:themeColor="text1"/>
          <w:kern w:val="0"/>
          <w:sz w:val="26"/>
          <w:szCs w:val="26"/>
          <w14:ligatures w14:val="none"/>
        </w:rPr>
        <w:t>Sửa đổi, bổ sung khoản 2 Điều 6 như sau:</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Vi phạm hành chính có quy mô lớn theo điểm l khoản 1 Điều 10 Luật Xử lý vi phạm hành chính được xác định trong các trường hợp sau:</w:t>
      </w:r>
    </w:p>
    <w:p w:rsidR="00F02205" w:rsidRPr="00F02205" w:rsidRDefault="00F02205" w:rsidP="00F02205">
      <w:pPr>
        <w:spacing w:after="0" w:line="240" w:lineRule="auto"/>
        <w:ind w:left="450"/>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w:t>
      </w:r>
      <w:r w:rsidRPr="00F02205">
        <w:rPr>
          <w:rFonts w:ascii="Times New Roman" w:eastAsia="Times New Roman" w:hAnsi="Times New Roman" w:cs="Times New Roman"/>
          <w:color w:val="000000" w:themeColor="text1"/>
          <w:kern w:val="0"/>
          <w:sz w:val="26"/>
          <w:szCs w:val="26"/>
          <w14:ligatures w14:val="none"/>
        </w:rPr>
        <w:t> Thực hiện một hành vi vi phạm hành chính về hóa đơn với số lượng từ 10 số hóa đơn trở lên đối với các hành vi quy định tại khoản 2 Điều 22, Điều 26 và Điều 27 của Nghị định này;</w:t>
      </w:r>
    </w:p>
    <w:p w:rsidR="00F02205" w:rsidRPr="00F02205" w:rsidRDefault="00F02205" w:rsidP="00F02205">
      <w:pPr>
        <w:spacing w:after="0" w:line="240" w:lineRule="auto"/>
        <w:ind w:left="450"/>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w:t>
      </w:r>
      <w:r w:rsidRPr="00F02205">
        <w:rPr>
          <w:rFonts w:ascii="Times New Roman" w:eastAsia="Times New Roman" w:hAnsi="Times New Roman" w:cs="Times New Roman"/>
          <w:color w:val="000000" w:themeColor="text1"/>
          <w:kern w:val="0"/>
          <w:sz w:val="26"/>
          <w:szCs w:val="26"/>
          <w14:ligatures w14:val="none"/>
        </w:rPr>
        <w:t> Thực hiện một hành vi trốn thuế quy định tại Điều 17 của Nghị định này với số tiền thuế trốn từ 100.000.000 đồng trở lên đối với các trường hợp chuyển hồ sơ vi phạm để xử phạt vi phạm hành chính theo quy định tại Điều 63 Luật Xử lý vi phạm hành chính.</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lastRenderedPageBreak/>
        <w:t>Căn cứ pháp lý:</w:t>
      </w:r>
      <w:r w:rsidRPr="00F02205">
        <w:rPr>
          <w:rFonts w:ascii="Times New Roman" w:eastAsia="Times New Roman" w:hAnsi="Times New Roman" w:cs="Times New Roman"/>
          <w:color w:val="000000" w:themeColor="text1"/>
          <w:kern w:val="0"/>
          <w:sz w:val="26"/>
          <w:szCs w:val="26"/>
          <w14:ligatures w14:val="none"/>
        </w:rPr>
        <w:t> Khoản 4 Điều 1 - Nghị định 310/2025/NĐ-CP.</w:t>
      </w:r>
    </w:p>
    <w:p w:rsidR="00F02205" w:rsidRPr="00F02205" w:rsidRDefault="00F02205" w:rsidP="00F02205">
      <w:pPr>
        <w:spacing w:after="0" w:line="240" w:lineRule="auto"/>
        <w:jc w:val="both"/>
        <w:outlineLvl w:val="1"/>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6. Thời hiệu xử phạt vi phạm hành chính về thuế, hóa đơn; thời hạn được coi là chưa bị xử phạt; thời hạn truy thu thuế</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Sửa đổi, bổ sung điểm c, d khoản 1; sửa đổi, bổ sung điểm a, b khoản 2 Điều 8 như sau:</w:t>
      </w:r>
    </w:p>
    <w:p w:rsidR="00F02205" w:rsidRPr="00F02205" w:rsidRDefault="00F02205" w:rsidP="00F02205">
      <w:pPr>
        <w:numPr>
          <w:ilvl w:val="0"/>
          <w:numId w:val="3"/>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Hành vi vi phạm hành chính về hóa đơn đang được thực hiện là các hành vi quy định tại khoản 3 Điều 24; điểm b khoản 3 Điều 25; điểm b khoản 2 và điểm b khoản 3 Điều 27; điểm b khoản 5 Điều 29; điểm b khoản 3 Điều 30 Nghị định này.</w:t>
      </w:r>
    </w:p>
    <w:p w:rsidR="00F02205" w:rsidRPr="00F02205" w:rsidRDefault="00F02205" w:rsidP="00F02205">
      <w:pPr>
        <w:numPr>
          <w:ilvl w:val="0"/>
          <w:numId w:val="3"/>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Hành vi vi phạm hành chính về hóa đơn không thuộc trường hợp quy định tại điểm c khoản này là hành vi vi phạm hành chính đã kết thúc. </w:t>
      </w:r>
      <w:r w:rsidRPr="00F02205">
        <w:rPr>
          <w:rFonts w:ascii="Times New Roman" w:eastAsia="Times New Roman" w:hAnsi="Times New Roman" w:cs="Times New Roman"/>
          <w:b/>
          <w:bCs/>
          <w:i/>
          <w:iCs/>
          <w:color w:val="000000" w:themeColor="text1"/>
          <w:kern w:val="0"/>
          <w:sz w:val="26"/>
          <w:szCs w:val="26"/>
          <w14:ligatures w14:val="none"/>
        </w:rPr>
        <w:t>Thời điểm chấm dứt hành vi vi phạm là ngày thực hiện hành vi vi phạm đó</w:t>
      </w:r>
      <w:r w:rsidRPr="00F02205">
        <w:rPr>
          <w:rFonts w:ascii="Times New Roman" w:eastAsia="Times New Roman" w:hAnsi="Times New Roman" w:cs="Times New Roman"/>
          <w:color w:val="000000" w:themeColor="text1"/>
          <w:kern w:val="0"/>
          <w:sz w:val="26"/>
          <w:szCs w:val="26"/>
          <w14:ligatures w14:val="none"/>
        </w:rPr>
        <w:t>.</w:t>
      </w:r>
    </w:p>
    <w:p w:rsidR="00F02205" w:rsidRPr="00F02205" w:rsidRDefault="00F02205" w:rsidP="00F02205">
      <w:pPr>
        <w:numPr>
          <w:ilvl w:val="0"/>
          <w:numId w:val="3"/>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Đối với hành vi mất, cháy, hỏng hóa đơn nếu không xác định được ngày mất, cháy, hỏng hóa đơn thì </w:t>
      </w:r>
      <w:r w:rsidRPr="00F02205">
        <w:rPr>
          <w:rFonts w:ascii="Times New Roman" w:eastAsia="Times New Roman" w:hAnsi="Times New Roman" w:cs="Times New Roman"/>
          <w:b/>
          <w:bCs/>
          <w:i/>
          <w:iCs/>
          <w:color w:val="000000" w:themeColor="text1"/>
          <w:kern w:val="0"/>
          <w:sz w:val="26"/>
          <w:szCs w:val="26"/>
          <w14:ligatures w14:val="none"/>
        </w:rPr>
        <w:t>thời điểm chấm dứt hành vi vi phạm là ngày phát hiện hóa đơn bị mất, cháy, hỏng</w:t>
      </w:r>
      <w:r w:rsidRPr="00F02205">
        <w:rPr>
          <w:rFonts w:ascii="Times New Roman" w:eastAsia="Times New Roman" w:hAnsi="Times New Roman" w:cs="Times New Roman"/>
          <w:color w:val="000000" w:themeColor="text1"/>
          <w:kern w:val="0"/>
          <w:sz w:val="26"/>
          <w:szCs w:val="26"/>
          <w14:ligatures w14:val="none"/>
        </w:rPr>
        <w:t>.</w:t>
      </w:r>
    </w:p>
    <w:p w:rsidR="00F02205" w:rsidRPr="00F02205" w:rsidRDefault="00F02205" w:rsidP="00F02205">
      <w:pPr>
        <w:numPr>
          <w:ilvl w:val="0"/>
          <w:numId w:val="3"/>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Đối với hành vi vi phạm về thời hạn thông báo, báo cáo về hóa đơn quy định tại khoản 1, 2 và điểm a khoản 3 Điều 25; khoản 1, điểm a khoản 2, khoản 3, khoản 4 và điểm a khoản 5 Điều 29 Nghị định này thì </w:t>
      </w:r>
      <w:r w:rsidRPr="00F02205">
        <w:rPr>
          <w:rFonts w:ascii="Times New Roman" w:eastAsia="Times New Roman" w:hAnsi="Times New Roman" w:cs="Times New Roman"/>
          <w:b/>
          <w:bCs/>
          <w:i/>
          <w:iCs/>
          <w:color w:val="000000" w:themeColor="text1"/>
          <w:kern w:val="0"/>
          <w:sz w:val="26"/>
          <w:szCs w:val="26"/>
          <w14:ligatures w14:val="none"/>
        </w:rPr>
        <w:t>thời điểm chấm dứt hành vi vi phạm là ngày người nộp thuế nộp thông báo, báo cáo về hóa đơn</w:t>
      </w:r>
      <w:r w:rsidRPr="00F02205">
        <w:rPr>
          <w:rFonts w:ascii="Times New Roman" w:eastAsia="Times New Roman" w:hAnsi="Times New Roman" w:cs="Times New Roman"/>
          <w:color w:val="000000" w:themeColor="text1"/>
          <w:kern w:val="0"/>
          <w:sz w:val="26"/>
          <w:szCs w:val="26"/>
          <w14:ligatures w14:val="none"/>
        </w:rPr>
        <w:t>.</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6.1 Thời hiệu xử phạt đối với hành vi vi phạm thủ tục thuế là 02 năm, kể từ ngày thực hiện hành vi vi phạm.</w:t>
      </w:r>
    </w:p>
    <w:p w:rsidR="00F02205" w:rsidRPr="00F02205" w:rsidRDefault="00F02205" w:rsidP="00F02205">
      <w:pPr>
        <w:spacing w:after="0" w:line="240" w:lineRule="auto"/>
        <w:ind w:left="450"/>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Ngày thực hiện hành vi vi phạm hành chính về thủ tục thuế là ngày kế tiếp ngày kết thúc thời hạn phải thực hiện thủ tục về thuế theo quy định của pháp luật về quản lý thuế, trừ các trường hợp sau đây:</w:t>
      </w:r>
    </w:p>
    <w:p w:rsidR="00F02205" w:rsidRPr="00F02205" w:rsidRDefault="00F02205" w:rsidP="00F02205">
      <w:pPr>
        <w:numPr>
          <w:ilvl w:val="0"/>
          <w:numId w:val="4"/>
        </w:numPr>
        <w:spacing w:after="0" w:line="240" w:lineRule="auto"/>
        <w:ind w:left="1170"/>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Đối với hành vi quy định tại khoản 1, điểm a, b khoản 2, khoản 3 và điểm a khoản 4 Điều 10; khoản 1, 2, 3, 4 và điểm a khoản 5 Điều 11; khoản 1, 2, 3 và điểm a, b khoản 4, khoản 5 Điều 13 Nghị định này, ngày thực hiện hành vi vi phạm để tính thời hiệu là ngày người nộp thuế thực hiện đăng ký thuế hoặc thông báo với cơ quan thuế hoặc nộp hồ sơ khai thuế.</w:t>
      </w:r>
    </w:p>
    <w:p w:rsidR="00F02205" w:rsidRPr="00F02205" w:rsidRDefault="00F02205" w:rsidP="00F02205">
      <w:pPr>
        <w:numPr>
          <w:ilvl w:val="0"/>
          <w:numId w:val="4"/>
        </w:numPr>
        <w:spacing w:after="0" w:line="240" w:lineRule="auto"/>
        <w:ind w:left="1170"/>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Đối với hành vi quy định tại điểm c, d khoản 2, điểm b khoản 4 Điều 10; điểm b khoản 5 Điều 11; điểm c, d khoản 4 Điều 13 Nghị định này là hành vi vi phạm hành chính về thuế đang được thực hiện, ngày thực hiện hành vi vi phạm để tính thời hiệu là ngày người có thẩm quyền thi hành công vụ phát hiện hành vi vi phạm.</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6.2 Thời hiệu xử phạt đối với hành vi trốn thuế chưa đến mức truy cứu trách nhiệm hình sự, hành vi khai sai dẫn đến thiếu số tiền thuế phải nộp hoặc tăng số tiền thuế được miễn, giảm, hoàn là 05 năm, kể từ ngày thực hiện hành vi vi phạm.</w:t>
      </w:r>
    </w:p>
    <w:p w:rsidR="00F02205" w:rsidRPr="00F02205" w:rsidRDefault="00F02205" w:rsidP="00F02205">
      <w:pPr>
        <w:numPr>
          <w:ilvl w:val="0"/>
          <w:numId w:val="5"/>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Ngày thực hiện hành vi khai sai dẫn đến thiếu số tiền thuế phải nộp hoặc tăng số tiền thuế được miễn, giảm, hoàn hoặc hành vi trốn thuế (trừ hành vi tại điểm a khoản 1 Điều 17 Nghị định này) là ngày tiếp theo ngày cuối cùng của thời hạn nộp hồ sơ khai thuế của kỳ tính thuế mà người nộp thuế thực hiện khai thiếu thuế, trốn thuế hoặc ngày tiếp theo ngày cơ quan có thẩm quyền ra quyết định miễn thuế, giảm thuế, hoàn thuế.</w:t>
      </w:r>
    </w:p>
    <w:p w:rsidR="00F02205" w:rsidRPr="00F02205" w:rsidRDefault="00F02205" w:rsidP="00F02205">
      <w:pPr>
        <w:numPr>
          <w:ilvl w:val="0"/>
          <w:numId w:val="5"/>
        </w:num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 xml:space="preserve">Đối với hành vi không nộp hồ sơ đăng ký thuế, không nộp hồ sơ khai thuế tại điểm a khoản 1 Điều 17 Nghị định này là hành vi vi phạm hành chính về thuế đang được </w:t>
      </w:r>
      <w:r w:rsidRPr="00F02205">
        <w:rPr>
          <w:rFonts w:ascii="Times New Roman" w:eastAsia="Times New Roman" w:hAnsi="Times New Roman" w:cs="Times New Roman"/>
          <w:color w:val="000000" w:themeColor="text1"/>
          <w:kern w:val="0"/>
          <w:sz w:val="26"/>
          <w:szCs w:val="26"/>
          <w14:ligatures w14:val="none"/>
        </w:rPr>
        <w:lastRenderedPageBreak/>
        <w:t>thực hiện, ngày thực hiện hành vi vi phạm để tính thời hiệu là ngày người có thẩm quyền thi hành công vụ phát hiện hành vi vi phạm. Đối với hành vi nộp hồ sơ khai thuế sau 90 ngày quy định tại điểm a khoản 1 Điều 17 Nghị định này thì ngày thực hiện hành vi vi phạm để tính thời hiệu là ngày người nộp thuế nộp hồ sơ khai thuế.</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Căn cứ pháp lý:</w:t>
      </w:r>
      <w:r w:rsidRPr="00F02205">
        <w:rPr>
          <w:rFonts w:ascii="Times New Roman" w:eastAsia="Times New Roman" w:hAnsi="Times New Roman" w:cs="Times New Roman"/>
          <w:color w:val="000000" w:themeColor="text1"/>
          <w:kern w:val="0"/>
          <w:sz w:val="26"/>
          <w:szCs w:val="26"/>
          <w14:ligatures w14:val="none"/>
        </w:rPr>
        <w:t> Khoản 6 Điều 1 - Nghị định 310/2025/NĐ-CP.</w:t>
      </w:r>
    </w:p>
    <w:p w:rsidR="00F02205" w:rsidRPr="00F02205" w:rsidRDefault="00F02205" w:rsidP="00F02205">
      <w:pPr>
        <w:spacing w:after="0" w:line="240" w:lineRule="auto"/>
        <w:jc w:val="both"/>
        <w:outlineLvl w:val="1"/>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7. Những trường hợp không xử phạt vi phạm hành chính về thuế, hóa đơn</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i/>
          <w:iCs/>
          <w:color w:val="000000" w:themeColor="text1"/>
          <w:kern w:val="0"/>
          <w:sz w:val="26"/>
          <w:szCs w:val="26"/>
          <w14:ligatures w14:val="none"/>
        </w:rPr>
        <w:t>Sửa đổi, bổ sung khoản 3 Điều 9 như sau:</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color w:val="000000" w:themeColor="text1"/>
          <w:kern w:val="0"/>
          <w:sz w:val="26"/>
          <w:szCs w:val="26"/>
          <w14:ligatures w14:val="none"/>
        </w:rPr>
        <w:t>Không xử phạt vi phạm hành chính về thuế đối với trường hợp khai sai, người nộp thuế đã khai bổ sung hồ sơ khai thuế theo quy định của pháp luật quản lý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w:t>
      </w:r>
    </w:p>
    <w:p w:rsidR="00F02205" w:rsidRPr="00F02205" w:rsidRDefault="00F02205" w:rsidP="00F02205">
      <w:pPr>
        <w:spacing w:after="0" w:line="240" w:lineRule="auto"/>
        <w:jc w:val="both"/>
        <w:rPr>
          <w:rFonts w:ascii="Times New Roman" w:eastAsia="Times New Roman" w:hAnsi="Times New Roman" w:cs="Times New Roman"/>
          <w:color w:val="000000" w:themeColor="text1"/>
          <w:kern w:val="0"/>
          <w:sz w:val="26"/>
          <w:szCs w:val="26"/>
          <w14:ligatures w14:val="none"/>
        </w:rPr>
      </w:pPr>
      <w:r w:rsidRPr="00F02205">
        <w:rPr>
          <w:rFonts w:ascii="Times New Roman" w:eastAsia="Times New Roman" w:hAnsi="Times New Roman" w:cs="Times New Roman"/>
          <w:b/>
          <w:bCs/>
          <w:color w:val="000000" w:themeColor="text1"/>
          <w:kern w:val="0"/>
          <w:sz w:val="26"/>
          <w:szCs w:val="26"/>
          <w14:ligatures w14:val="none"/>
        </w:rPr>
        <w:t>Căn cứ pháp lý:</w:t>
      </w:r>
      <w:r w:rsidRPr="00F02205">
        <w:rPr>
          <w:rFonts w:ascii="Times New Roman" w:eastAsia="Times New Roman" w:hAnsi="Times New Roman" w:cs="Times New Roman"/>
          <w:color w:val="000000" w:themeColor="text1"/>
          <w:kern w:val="0"/>
          <w:sz w:val="26"/>
          <w:szCs w:val="26"/>
          <w14:ligatures w14:val="none"/>
        </w:rPr>
        <w:t> Khoản 7 Điều 1 - Nghị định 310/2025/NĐ-CP.</w:t>
      </w:r>
    </w:p>
    <w:p w:rsidR="00A1260D" w:rsidRDefault="00F02205" w:rsidP="00F02205">
      <w:pPr>
        <w:spacing w:after="0" w:line="240" w:lineRule="auto"/>
        <w:jc w:val="right"/>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Sưu</w:t>
      </w:r>
      <w:r>
        <w:rPr>
          <w:rFonts w:ascii="Times New Roman" w:hAnsi="Times New Roman" w:cs="Times New Roman"/>
          <w:color w:val="000000" w:themeColor="text1"/>
          <w:sz w:val="26"/>
          <w:szCs w:val="26"/>
          <w:lang w:val="vi-VN"/>
        </w:rPr>
        <w:t xml:space="preserve"> tầm</w:t>
      </w:r>
    </w:p>
    <w:p w:rsidR="00F02205" w:rsidRDefault="00F02205" w:rsidP="00F02205">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Tài liệu tham khảo</w:t>
      </w:r>
    </w:p>
    <w:p w:rsidR="00F02205" w:rsidRDefault="00F02205" w:rsidP="00F02205">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1. </w:t>
      </w:r>
      <w:hyperlink r:id="rId5" w:history="1">
        <w:r w:rsidRPr="00BF2C11">
          <w:rPr>
            <w:rStyle w:val="Hyperlink"/>
            <w:rFonts w:ascii="Times New Roman" w:hAnsi="Times New Roman" w:cs="Times New Roman"/>
            <w:sz w:val="26"/>
            <w:szCs w:val="26"/>
            <w:lang w:val="vi-VN"/>
          </w:rPr>
          <w:t>https://globalauditing.com/tin-tuc/quy-dinh-xu-phat-vi-pham-hanh-chinh-ve-thue-hoa-don-529.htm</w:t>
        </w:r>
      </w:hyperlink>
    </w:p>
    <w:p w:rsidR="00F02205" w:rsidRDefault="00F02205" w:rsidP="00F02205">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2. </w:t>
      </w:r>
      <w:hyperlink r:id="rId6" w:history="1">
        <w:r w:rsidRPr="00BF2C11">
          <w:rPr>
            <w:rStyle w:val="Hyperlink"/>
            <w:rFonts w:ascii="Times New Roman" w:hAnsi="Times New Roman" w:cs="Times New Roman"/>
            <w:sz w:val="26"/>
            <w:szCs w:val="26"/>
            <w:lang w:val="vi-VN"/>
          </w:rPr>
          <w:t>https://einvoice.vn/tin-tuc/xu-phat-vi-pham-thue-hoa-don-theo-nghi-dinh-310</w:t>
        </w:r>
      </w:hyperlink>
    </w:p>
    <w:p w:rsidR="00F02205" w:rsidRPr="00F02205" w:rsidRDefault="00F02205" w:rsidP="00F02205">
      <w:pPr>
        <w:spacing w:after="0" w:line="240" w:lineRule="auto"/>
        <w:rPr>
          <w:rFonts w:ascii="Times New Roman" w:hAnsi="Times New Roman" w:cs="Times New Roman"/>
          <w:color w:val="000000" w:themeColor="text1"/>
          <w:sz w:val="26"/>
          <w:szCs w:val="26"/>
          <w:lang w:val="vi-VN"/>
        </w:rPr>
      </w:pPr>
    </w:p>
    <w:sectPr w:rsidR="00F02205" w:rsidRPr="00F022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0A60"/>
    <w:multiLevelType w:val="multilevel"/>
    <w:tmpl w:val="67B63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8A64AA6"/>
    <w:multiLevelType w:val="multilevel"/>
    <w:tmpl w:val="1F4E7E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9C80F2F"/>
    <w:multiLevelType w:val="multilevel"/>
    <w:tmpl w:val="7576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8096A"/>
    <w:multiLevelType w:val="multilevel"/>
    <w:tmpl w:val="C92ACD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669629F"/>
    <w:multiLevelType w:val="multilevel"/>
    <w:tmpl w:val="5EAC71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50169906">
    <w:abstractNumId w:val="0"/>
  </w:num>
  <w:num w:numId="2" w16cid:durableId="174420054">
    <w:abstractNumId w:val="1"/>
  </w:num>
  <w:num w:numId="3" w16cid:durableId="1343586058">
    <w:abstractNumId w:val="2"/>
  </w:num>
  <w:num w:numId="4" w16cid:durableId="1965190494">
    <w:abstractNumId w:val="3"/>
  </w:num>
  <w:num w:numId="5" w16cid:durableId="1362363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05"/>
    <w:rsid w:val="0027033E"/>
    <w:rsid w:val="00487EDF"/>
    <w:rsid w:val="0060472F"/>
    <w:rsid w:val="00A1260D"/>
    <w:rsid w:val="00A65A1B"/>
    <w:rsid w:val="00F0220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0BBE7DC"/>
  <w15:chartTrackingRefBased/>
  <w15:docId w15:val="{2B1FBEC6-A736-1A47-80DF-DB8A408C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2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2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2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2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2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2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2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2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2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205"/>
    <w:rPr>
      <w:rFonts w:eastAsiaTheme="majorEastAsia" w:cstheme="majorBidi"/>
      <w:color w:val="272727" w:themeColor="text1" w:themeTint="D8"/>
    </w:rPr>
  </w:style>
  <w:style w:type="paragraph" w:styleId="Title">
    <w:name w:val="Title"/>
    <w:basedOn w:val="Normal"/>
    <w:next w:val="Normal"/>
    <w:link w:val="TitleChar"/>
    <w:uiPriority w:val="10"/>
    <w:qFormat/>
    <w:rsid w:val="00F02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205"/>
    <w:pPr>
      <w:spacing w:before="160"/>
      <w:jc w:val="center"/>
    </w:pPr>
    <w:rPr>
      <w:i/>
      <w:iCs/>
      <w:color w:val="404040" w:themeColor="text1" w:themeTint="BF"/>
    </w:rPr>
  </w:style>
  <w:style w:type="character" w:customStyle="1" w:styleId="QuoteChar">
    <w:name w:val="Quote Char"/>
    <w:basedOn w:val="DefaultParagraphFont"/>
    <w:link w:val="Quote"/>
    <w:uiPriority w:val="29"/>
    <w:rsid w:val="00F02205"/>
    <w:rPr>
      <w:i/>
      <w:iCs/>
      <w:color w:val="404040" w:themeColor="text1" w:themeTint="BF"/>
    </w:rPr>
  </w:style>
  <w:style w:type="paragraph" w:styleId="ListParagraph">
    <w:name w:val="List Paragraph"/>
    <w:basedOn w:val="Normal"/>
    <w:uiPriority w:val="34"/>
    <w:qFormat/>
    <w:rsid w:val="00F02205"/>
    <w:pPr>
      <w:ind w:left="720"/>
      <w:contextualSpacing/>
    </w:pPr>
  </w:style>
  <w:style w:type="character" w:styleId="IntenseEmphasis">
    <w:name w:val="Intense Emphasis"/>
    <w:basedOn w:val="DefaultParagraphFont"/>
    <w:uiPriority w:val="21"/>
    <w:qFormat/>
    <w:rsid w:val="00F02205"/>
    <w:rPr>
      <w:i/>
      <w:iCs/>
      <w:color w:val="2F5496" w:themeColor="accent1" w:themeShade="BF"/>
    </w:rPr>
  </w:style>
  <w:style w:type="paragraph" w:styleId="IntenseQuote">
    <w:name w:val="Intense Quote"/>
    <w:basedOn w:val="Normal"/>
    <w:next w:val="Normal"/>
    <w:link w:val="IntenseQuoteChar"/>
    <w:uiPriority w:val="30"/>
    <w:qFormat/>
    <w:rsid w:val="00F02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205"/>
    <w:rPr>
      <w:i/>
      <w:iCs/>
      <w:color w:val="2F5496" w:themeColor="accent1" w:themeShade="BF"/>
    </w:rPr>
  </w:style>
  <w:style w:type="character" w:styleId="IntenseReference">
    <w:name w:val="Intense Reference"/>
    <w:basedOn w:val="DefaultParagraphFont"/>
    <w:uiPriority w:val="32"/>
    <w:qFormat/>
    <w:rsid w:val="00F02205"/>
    <w:rPr>
      <w:b/>
      <w:bCs/>
      <w:smallCaps/>
      <w:color w:val="2F5496" w:themeColor="accent1" w:themeShade="BF"/>
      <w:spacing w:val="5"/>
    </w:rPr>
  </w:style>
  <w:style w:type="character" w:styleId="Strong">
    <w:name w:val="Strong"/>
    <w:basedOn w:val="DefaultParagraphFont"/>
    <w:uiPriority w:val="22"/>
    <w:qFormat/>
    <w:rsid w:val="00F02205"/>
    <w:rPr>
      <w:b/>
      <w:bCs/>
    </w:rPr>
  </w:style>
  <w:style w:type="paragraph" w:styleId="NormalWeb">
    <w:name w:val="Normal (Web)"/>
    <w:basedOn w:val="Normal"/>
    <w:uiPriority w:val="99"/>
    <w:semiHidden/>
    <w:unhideWhenUsed/>
    <w:rsid w:val="00F022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02205"/>
    <w:rPr>
      <w:i/>
      <w:iCs/>
    </w:rPr>
  </w:style>
  <w:style w:type="character" w:styleId="Hyperlink">
    <w:name w:val="Hyperlink"/>
    <w:basedOn w:val="DefaultParagraphFont"/>
    <w:uiPriority w:val="99"/>
    <w:unhideWhenUsed/>
    <w:rsid w:val="00F02205"/>
    <w:rPr>
      <w:color w:val="0563C1" w:themeColor="hyperlink"/>
      <w:u w:val="single"/>
    </w:rPr>
  </w:style>
  <w:style w:type="character" w:styleId="UnresolvedMention">
    <w:name w:val="Unresolved Mention"/>
    <w:basedOn w:val="DefaultParagraphFont"/>
    <w:uiPriority w:val="99"/>
    <w:semiHidden/>
    <w:unhideWhenUsed/>
    <w:rsid w:val="00F02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nvoice.vn/tin-tuc/xu-phat-vi-pham-thue-hoa-don-theo-nghi-dinh-310" TargetMode="External"/><Relationship Id="rId5" Type="http://schemas.openxmlformats.org/officeDocument/2006/relationships/hyperlink" Target="https://globalauditing.com/tin-tuc/quy-dinh-xu-phat-vi-pham-hanh-chinh-ve-thue-hoa-don-52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1548</Words>
  <Characters>8829</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2026-03-13T15:05:00Z</dcterms:created>
  <dcterms:modified xsi:type="dcterms:W3CDTF">2026-03-13T15:07:00Z</dcterms:modified>
</cp:coreProperties>
</file>