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45" w:rsidRPr="00571F45" w:rsidRDefault="00571F45" w:rsidP="00571F45">
      <w:pPr>
        <w:shd w:val="clear" w:color="auto" w:fill="FFFFFF"/>
        <w:spacing w:after="0" w:line="240" w:lineRule="auto"/>
        <w:jc w:val="center"/>
        <w:textAlignment w:val="baseline"/>
        <w:outlineLvl w:val="0"/>
        <w:rPr>
          <w:rFonts w:ascii="Times New Roman" w:eastAsia="Times New Roman" w:hAnsi="Times New Roman" w:cs="Times New Roman"/>
          <w:b/>
          <w:color w:val="444444"/>
          <w:sz w:val="26"/>
          <w:szCs w:val="26"/>
        </w:rPr>
      </w:pPr>
      <w:r w:rsidRPr="00571F45">
        <w:rPr>
          <w:rFonts w:ascii="Times New Roman" w:eastAsia="Times New Roman" w:hAnsi="Times New Roman" w:cs="Times New Roman"/>
          <w:b/>
          <w:color w:val="333333"/>
          <w:kern w:val="36"/>
          <w:sz w:val="26"/>
          <w:szCs w:val="26"/>
        </w:rPr>
        <w:t>QUY ĐỊNH MỚI NHẤT VỀ THUẾ ĐỐI VỚI CÁ NHÂN, HỘ KINH DOANH</w:t>
      </w:r>
      <w:r w:rsidRPr="00571F45">
        <w:rPr>
          <w:rFonts w:ascii="Times New Roman" w:eastAsia="Times New Roman" w:hAnsi="Times New Roman" w:cs="Times New Roman"/>
          <w:b/>
          <w:noProof/>
          <w:color w:val="333333"/>
          <w:sz w:val="26"/>
          <w:szCs w:val="26"/>
        </w:rPr>
        <mc:AlternateContent>
          <mc:Choice Requires="wps">
            <w:drawing>
              <wp:inline distT="0" distB="0" distL="0" distR="0" wp14:anchorId="135F8AFD" wp14:editId="5363D8B6">
                <wp:extent cx="304800" cy="304800"/>
                <wp:effectExtent l="0" t="0" r="0" b="0"/>
                <wp:docPr id="3" name="Rectangle 3" descr="Tác giả: QĐ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Tác giả: QĐ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628jpNQCAADR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b/>
          <w:bCs/>
          <w:color w:val="333333"/>
          <w:sz w:val="26"/>
          <w:szCs w:val="26"/>
          <w:bdr w:val="none" w:sz="0" w:space="0" w:color="auto" w:frame="1"/>
        </w:rPr>
        <w:t>Trường hợp không phải chịu thuế giá trị gia tăng, thuế thu nhập cá nhân</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Theo quy định tại Điều 3 Nghị định số 68/2026/NĐ-CP, hộ kinh doanh, cá nhân kinh doanh có hoạt động sản xuất, kinh doanh có mức doanh thu năm từ 500 triệu đồng trở xuống thuộc đối tượng không chịu </w:t>
      </w:r>
      <w:hyperlink r:id="rId6" w:history="1">
        <w:r w:rsidRPr="00571F45">
          <w:rPr>
            <w:rFonts w:ascii="Times New Roman" w:eastAsia="Times New Roman" w:hAnsi="Times New Roman" w:cs="Times New Roman"/>
            <w:color w:val="0000FF"/>
            <w:sz w:val="26"/>
            <w:szCs w:val="26"/>
            <w:u w:val="single"/>
            <w:bdr w:val="none" w:sz="0" w:space="0" w:color="auto" w:frame="1"/>
          </w:rPr>
          <w:t>thuế giá trị gia tăng</w:t>
        </w:r>
      </w:hyperlink>
      <w:r w:rsidRPr="00571F45">
        <w:rPr>
          <w:rFonts w:ascii="Times New Roman" w:eastAsia="Times New Roman" w:hAnsi="Times New Roman" w:cs="Times New Roman"/>
          <w:color w:val="333333"/>
          <w:sz w:val="26"/>
          <w:szCs w:val="26"/>
        </w:rPr>
        <w:t>.</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Còn hộ kinh doanh, cá nhân kinh doanh có hoạt động sản xuất, kinh doanh có mức doanh thu năm trên 500 triệu đồng thuộc đối tượng chịu thuế giá trị gia tăng và áp dụng phương pháp tính trực tiếp theo doanh thu bằng tỷ lệ % nhân (x) doanh thu. Tỷ lệ % và doanh thu tính thuế thực hiện theo quy định của Luật Thuế giá trị gia tăng số 48/2024/QH15 và các văn bản hướng dẫn thi hành.</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 xml:space="preserve">Về thuế thu nhập cá nhân, Điều 4 Nghị định số 68/2026/NĐ-CP quy định: Cá nhân cư trú có hoạt động sản xuất, kinh doanh, bao gồm cả cá nhân đăng ký thành lập hộ kinh doanh hoặc người được các thành viên hộ gia đình ủy quyền làm người đại diện hộ kinh doanh (sau đây gọi là cá nhân </w:t>
      </w:r>
      <w:bookmarkStart w:id="0" w:name="_GoBack"/>
      <w:bookmarkEnd w:id="0"/>
      <w:r w:rsidRPr="00571F45">
        <w:rPr>
          <w:rFonts w:ascii="Times New Roman" w:eastAsia="Times New Roman" w:hAnsi="Times New Roman" w:cs="Times New Roman"/>
          <w:color w:val="333333"/>
          <w:sz w:val="26"/>
          <w:szCs w:val="26"/>
        </w:rPr>
        <w:t>kinh doanh) có mức doanh thu năm từ 500 triệu đồng trở xuống không phải nộp thuế thu nhập cá nhân.</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 xml:space="preserve"> Cá nhân kinh doanh có doanh thu năm trên mức doanh thu quy định nêu trên thực hiện nộp thuế theo quy định tại Điều 7 Luật Thuế thu nhập cá nhân số 109/2025/QH15.</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 xml:space="preserve">Đối với cá nhân kinh doanh nộp thuế thu nhập cá nhân theo quy định tại khoản 3 Điều 7 Luật Thuế thu nhập cá nhân số 109/2025/QH15, trường hợp cá nhân có nhiều ngành, nghề kinh doanh áp dụng các mức thuế suất thuế thu nhập cá nhân khác nhau hoặc có nhiều địa điểm kinh doanh, thì cá nhân được áp dụng mức trừ 500 triệu đồng trước khi tính thuế thu nhập cá nhân đối với một hoặc một số ngành, nghề kinh doanh hoặc địa </w:t>
      </w:r>
      <w:r w:rsidRPr="00571F45">
        <w:rPr>
          <w:rFonts w:ascii="Times New Roman" w:eastAsia="Times New Roman" w:hAnsi="Times New Roman" w:cs="Times New Roman"/>
          <w:color w:val="333333"/>
          <w:sz w:val="26"/>
          <w:szCs w:val="26"/>
        </w:rPr>
        <w:lastRenderedPageBreak/>
        <w:t>điểm kinh doanh do cá nhân lựa chọn theo phương án có lợi nhất, nhưng tổng mức trừ không vượt quá 500 triệu đồng trong một năm đối với doanh thu của toàn bộ hoạt động kinh doanh quy định tại khoản này.</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Trường hợp doanh thu từ ngành, nghề kinh doanh hoặc địa điểm kinh doanh được lựa chọn chưa trừ đủ 500 triệu đồng, cá nhân được trừ tiếp mức chưa trừ hết vào doanh thu của một hoặc một số ngành, nghề kinh doanh hoặc địa điểm kinh doanh khác cho đến khi tổng mức trừ đủ 500 triệu đồng.</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Đối với cá nhân cho thuê bất động sản nộp thuế thu nhập cá nhân theo quy định tại khoản 4 Điều 7 Luật Thuế thu nhập cá nhân số 109/2025/QH15:</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 Trường hợp cá nhân có nhiều bất động sản cho thuê ở các địa điểm khác nhau, cá nhân được trừ 500 triệu đồng trước khi tính thuế thu nhập cá nhân đối với một hoặc một số hợp đồng cho thuê bất động sản do cá nhân lựa chọn, nhưng tổng mức được trừ không quá 500 triệu đồng một năm đối với tất cả hợp đồng cho thuê bất động sản. Trường hợp hợp đồng cho thuê bất động sản được lựa chọn chưa trừ đủ 500 triệu đồng, cá nhân được tiếp tục lựa chọn các hợp đồng cho thuê bất động sản khác để được trừ tiếp cho đến khi trừ đủ 500 triệu đồng;</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 xml:space="preserve">- 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đi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thuế nhưng chưa trừ đủ 500 triệu </w:t>
      </w:r>
      <w:r w:rsidRPr="00571F45">
        <w:rPr>
          <w:rFonts w:ascii="Times New Roman" w:eastAsia="Times New Roman" w:hAnsi="Times New Roman" w:cs="Times New Roman"/>
          <w:color w:val="333333"/>
          <w:sz w:val="26"/>
          <w:szCs w:val="26"/>
        </w:rPr>
        <w:lastRenderedPageBreak/>
        <w:t>đồng thì cá nhân được tiếp tục lựa chọn các hợp đồng cho thuê bất động sản khác để tiếp tục được trừ cho đến khi trừ đủ 500 triệu đồng.</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b/>
          <w:bCs/>
          <w:color w:val="333333"/>
          <w:sz w:val="26"/>
          <w:szCs w:val="26"/>
          <w:bdr w:val="none" w:sz="0" w:space="0" w:color="auto" w:frame="1"/>
        </w:rPr>
        <w:t>Trách nhiệm hướng dẫn của cơ quan thuế</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Khoản 4 Điều 17 Nghị định số 68/2025/NĐ-CP quy định, cơ quan thuế thực hiện rà soát cơ sở dữ liệu của hộ kinh doanh, cá nhân kinh doanh của năm 2025 để hướng dẫn:</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 Hộ kinh doanh, cá nhân kinh doanh đã thực hiện nộp thuế theo phương pháp khoán hoặc phương pháp kê khai trong năm 2025 có mức doanh thu trên 500 triệu đồng thực hiện kê khai, nộp thuế của năm 2026 theo quy định tại Điều 10 Nghị định này;</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 Hộ kinh doanh, cá nhân kinh doanh đã nộp thuế theo phương pháp khoán hoặc phương pháp kê khai trong năm 2025, có doanh thu từ 500 triệu đồng trở xuống thực hiện thông báo doanh thu của năm 2026 theo quy định tại điểm a khoản 1 Điều 8 Nghị định này.</w:t>
      </w:r>
    </w:p>
    <w:p w:rsidR="00571F45" w:rsidRPr="00571F45" w:rsidRDefault="00571F45" w:rsidP="00571F45">
      <w:pPr>
        <w:shd w:val="clear" w:color="auto" w:fill="FFFFFF"/>
        <w:spacing w:after="0" w:line="480" w:lineRule="auto"/>
        <w:jc w:val="both"/>
        <w:textAlignment w:val="baseline"/>
        <w:rPr>
          <w:rFonts w:ascii="Times New Roman" w:eastAsia="Times New Roman" w:hAnsi="Times New Roman" w:cs="Times New Roman"/>
          <w:color w:val="333333"/>
          <w:sz w:val="26"/>
          <w:szCs w:val="26"/>
        </w:rPr>
      </w:pPr>
      <w:r w:rsidRPr="00571F45">
        <w:rPr>
          <w:rFonts w:ascii="Times New Roman" w:eastAsia="Times New Roman" w:hAnsi="Times New Roman" w:cs="Times New Roman"/>
          <w:color w:val="333333"/>
          <w:sz w:val="26"/>
          <w:szCs w:val="26"/>
        </w:rPr>
        <w:t>Khoản 5 Điều 17 cũng quy định: Đối với hộ kinh doanh, cá nhân kinh doanh nộp thuế theo phương pháp khoán từ năm 2025 trở về trước và đã được xác định mức thuế khoán (bao gồm cả trường hợp hộ kinh doanh, cá nhân kinh doanh có thay đổi về quy mô sản xuất kinh doanh dẫn đến doanh thu khoán thuế thay đổi từ 50% trở lên) theo quy định của Luật Quản lý thuế số 38/2019/QH14 và các văn bản hướng dẫn thi hành, khi chuyển sang thực hiện kê khai thuế kể từ ngày 1-1-2026, cơ quan thuế không sử dụng doanh thu khai thuế năm 2026 để xác định lại nghĩa vụ thuế các năm trước, không xử phạt vi phạm hành chính đối với các nghĩa vụ thuế đã thực hiện theo phương pháp khoán, trừ trường hợp cơ quan thuế, cơ quan nhà nước có thẩm quyền phát hiện hộ kinh doanh, cá nhân kinh doanh có hành vi che giấu doanh thu dẫn đến thiếu số thuế phải nộp.</w:t>
      </w:r>
      <w:r w:rsidRPr="00571F45">
        <w:rPr>
          <w:rFonts w:ascii="Times New Roman" w:eastAsia="Times New Roman" w:hAnsi="Times New Roman" w:cs="Times New Roman"/>
          <w:b/>
          <w:bCs/>
          <w:color w:val="333333"/>
          <w:sz w:val="26"/>
          <w:szCs w:val="26"/>
          <w:bdr w:val="none" w:sz="0" w:space="0" w:color="auto" w:frame="1"/>
        </w:rPr>
        <w:t xml:space="preserve"> </w:t>
      </w:r>
    </w:p>
    <w:p w:rsidR="007839D8" w:rsidRPr="00571F45" w:rsidRDefault="007839D8" w:rsidP="00571F45">
      <w:pPr>
        <w:spacing w:after="0"/>
        <w:jc w:val="both"/>
        <w:rPr>
          <w:rFonts w:ascii="Times New Roman" w:hAnsi="Times New Roman" w:cs="Times New Roman"/>
          <w:sz w:val="26"/>
          <w:szCs w:val="26"/>
        </w:rPr>
      </w:pPr>
    </w:p>
    <w:sectPr w:rsidR="007839D8" w:rsidRPr="0057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45"/>
    <w:rsid w:val="00571F45"/>
    <w:rsid w:val="0078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1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71F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F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1F45"/>
    <w:rPr>
      <w:rFonts w:ascii="Times New Roman" w:eastAsia="Times New Roman" w:hAnsi="Times New Roman" w:cs="Times New Roman"/>
      <w:b/>
      <w:bCs/>
      <w:sz w:val="36"/>
      <w:szCs w:val="36"/>
    </w:rPr>
  </w:style>
  <w:style w:type="paragraph" w:customStyle="1" w:styleId="author-top">
    <w:name w:val="author-top"/>
    <w:basedOn w:val="Normal"/>
    <w:rsid w:val="00571F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online">
    <w:name w:val="logo-online"/>
    <w:basedOn w:val="Normal"/>
    <w:rsid w:val="00571F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71F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1F45"/>
    <w:rPr>
      <w:b/>
      <w:bCs/>
    </w:rPr>
  </w:style>
  <w:style w:type="character" w:styleId="Hyperlink">
    <w:name w:val="Hyperlink"/>
    <w:basedOn w:val="DefaultParagraphFont"/>
    <w:uiPriority w:val="99"/>
    <w:semiHidden/>
    <w:unhideWhenUsed/>
    <w:rsid w:val="00571F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1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71F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F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1F45"/>
    <w:rPr>
      <w:rFonts w:ascii="Times New Roman" w:eastAsia="Times New Roman" w:hAnsi="Times New Roman" w:cs="Times New Roman"/>
      <w:b/>
      <w:bCs/>
      <w:sz w:val="36"/>
      <w:szCs w:val="36"/>
    </w:rPr>
  </w:style>
  <w:style w:type="paragraph" w:customStyle="1" w:styleId="author-top">
    <w:name w:val="author-top"/>
    <w:basedOn w:val="Normal"/>
    <w:rsid w:val="00571F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online">
    <w:name w:val="logo-online"/>
    <w:basedOn w:val="Normal"/>
    <w:rsid w:val="00571F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71F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1F45"/>
    <w:rPr>
      <w:b/>
      <w:bCs/>
    </w:rPr>
  </w:style>
  <w:style w:type="character" w:styleId="Hyperlink">
    <w:name w:val="Hyperlink"/>
    <w:basedOn w:val="DefaultParagraphFont"/>
    <w:uiPriority w:val="99"/>
    <w:semiHidden/>
    <w:unhideWhenUsed/>
    <w:rsid w:val="00571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21962">
      <w:bodyDiv w:val="1"/>
      <w:marLeft w:val="0"/>
      <w:marRight w:val="0"/>
      <w:marTop w:val="0"/>
      <w:marBottom w:val="0"/>
      <w:divBdr>
        <w:top w:val="none" w:sz="0" w:space="0" w:color="auto"/>
        <w:left w:val="none" w:sz="0" w:space="0" w:color="auto"/>
        <w:bottom w:val="none" w:sz="0" w:space="0" w:color="auto"/>
        <w:right w:val="none" w:sz="0" w:space="0" w:color="auto"/>
      </w:divBdr>
      <w:divsChild>
        <w:div w:id="160846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qdnd.vn/tag/thue-gia-tri-gia-tang-1249.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39BB9-7D5B-405A-ACD7-3CBD1A55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2026-03-13T18:25:00Z</dcterms:created>
  <dcterms:modified xsi:type="dcterms:W3CDTF">2026-03-13T18:30:00Z</dcterms:modified>
</cp:coreProperties>
</file>