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11AB" w14:textId="77777777" w:rsidR="00B42DD5" w:rsidRDefault="00B42DD5" w:rsidP="00B42DD5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B42DD5">
        <w:rPr>
          <w:rFonts w:ascii="Times New Roman" w:hAnsi="Times New Roman" w:cs="Times New Roman"/>
          <w:b/>
          <w:bCs/>
          <w:sz w:val="30"/>
          <w:szCs w:val="30"/>
        </w:rPr>
        <w:t>ỨNG DỤNG CHI PHÍ HỖN HỢP TRONG DOANH NGHIỆP</w:t>
      </w:r>
    </w:p>
    <w:p w14:paraId="29711F8C" w14:textId="77777777" w:rsidR="00B42DD5" w:rsidRPr="00B42DD5" w:rsidRDefault="00B42DD5" w:rsidP="00B42DD5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</w:p>
    <w:p w14:paraId="03A4C54F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Tóm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tắt</w:t>
      </w:r>
      <w:proofErr w:type="spellEnd"/>
    </w:p>
    <w:p w14:paraId="633228A9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lõi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Bài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bài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164EC7BE" w14:textId="085A6978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7519086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3F224FFA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(cost behavior)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Thông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: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226307DC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nay.</w:t>
      </w:r>
    </w:p>
    <w:p w14:paraId="4C3134D3" w14:textId="58AD386C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C45B72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</w:p>
    <w:p w14:paraId="05F4E142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Thành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lastRenderedPageBreak/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1E726756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:</w:t>
      </w:r>
    </w:p>
    <w:p w14:paraId="25F31739" w14:textId="3F3C2DF5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Y=a+bX</m:t>
          </m:r>
        </m:oMath>
      </m:oMathPara>
    </w:p>
    <w:p w14:paraId="296A6D8A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Trong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, Y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tổng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, a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, b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X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2A79EE64" w14:textId="73D40FAE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kịch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22BB30D2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hồi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024CAE80" w14:textId="70F74209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CF1F8B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6F448256" w14:textId="77777777" w:rsid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Thay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66FD020" w14:textId="64781EDA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(CVP).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lastRenderedPageBreak/>
        <w:t>cách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CVP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0A902056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lầm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chẳng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56354C5F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55BFBD24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Việt Nam,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rang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xay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37C7E5BF" w14:textId="15D39491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C597CC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Thách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</w:p>
    <w:p w14:paraId="595D248E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6550454F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537FCCDA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lastRenderedPageBreak/>
        <w:t>nâng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tin.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68E2A946" w14:textId="72F90D30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A84D9B7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35A121EA" w14:textId="77777777" w:rsidR="00B42DD5" w:rsidRPr="00B42DD5" w:rsidRDefault="00B42DD5" w:rsidP="00B42DD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phức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gay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gắt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>.</w:t>
      </w:r>
    </w:p>
    <w:p w14:paraId="019EDF16" w14:textId="577BE445" w:rsidR="00B42DD5" w:rsidRPr="00B42DD5" w:rsidRDefault="00B42DD5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6E0F0A3" w14:textId="77777777" w:rsidR="00B42DD5" w:rsidRPr="00B42DD5" w:rsidRDefault="00B42DD5" w:rsidP="00B42DD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Tài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B42D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3E7C660C" w14:textId="77777777" w:rsidR="00B42DD5" w:rsidRPr="00B42DD5" w:rsidRDefault="00B42DD5" w:rsidP="00B42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Horngren, C.T., Datar, S.M., Rajan, M.V. (2018), </w:t>
      </w:r>
      <w:r w:rsidRPr="00B42DD5">
        <w:rPr>
          <w:rFonts w:ascii="Times New Roman" w:hAnsi="Times New Roman" w:cs="Times New Roman"/>
          <w:i/>
          <w:iCs/>
          <w:sz w:val="26"/>
          <w:szCs w:val="26"/>
        </w:rPr>
        <w:t>Cost Accounting: A Managerial Emphasis</w:t>
      </w:r>
      <w:r w:rsidRPr="00B42DD5">
        <w:rPr>
          <w:rFonts w:ascii="Times New Roman" w:hAnsi="Times New Roman" w:cs="Times New Roman"/>
          <w:sz w:val="26"/>
          <w:szCs w:val="26"/>
        </w:rPr>
        <w:t xml:space="preserve">, Pearson Education. </w:t>
      </w:r>
    </w:p>
    <w:p w14:paraId="1C2D43E7" w14:textId="77777777" w:rsidR="00B42DD5" w:rsidRPr="00B42DD5" w:rsidRDefault="00B42DD5" w:rsidP="00B42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42DD5">
        <w:rPr>
          <w:rFonts w:ascii="Times New Roman" w:hAnsi="Times New Roman" w:cs="Times New Roman"/>
          <w:sz w:val="26"/>
          <w:szCs w:val="26"/>
        </w:rPr>
        <w:t xml:space="preserve">Nguyễn Thị Đông (2019),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92AA1F" w14:textId="4197F8A1" w:rsidR="00B42DD5" w:rsidRPr="00B42DD5" w:rsidRDefault="00B42DD5" w:rsidP="00B42D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42DD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B42DD5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42DD5">
        <w:rPr>
          <w:rFonts w:ascii="Times New Roman" w:hAnsi="Times New Roman" w:cs="Times New Roman"/>
          <w:sz w:val="26"/>
          <w:szCs w:val="26"/>
        </w:rPr>
        <w:t xml:space="preserve"> (202</w:t>
      </w:r>
      <w:r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B42DD5">
        <w:rPr>
          <w:rFonts w:ascii="Times New Roman" w:hAnsi="Times New Roman" w:cs="Times New Roman"/>
          <w:sz w:val="26"/>
          <w:szCs w:val="26"/>
        </w:rPr>
        <w:t xml:space="preserve">), </w:t>
      </w:r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Thông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dẫn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chế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độ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kế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toán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42DD5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B42DD5">
        <w:rPr>
          <w:rFonts w:ascii="Times New Roman" w:hAnsi="Times New Roman" w:cs="Times New Roman"/>
          <w:i/>
          <w:iCs/>
          <w:sz w:val="26"/>
          <w:szCs w:val="26"/>
        </w:rPr>
        <w:t xml:space="preserve"> Việt Nam</w:t>
      </w:r>
      <w:r w:rsidRPr="00B42DD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1BEDFF7" w14:textId="77777777" w:rsidR="00135046" w:rsidRPr="00B42DD5" w:rsidRDefault="00135046" w:rsidP="00B42DD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B4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06F0C"/>
    <w:multiLevelType w:val="multilevel"/>
    <w:tmpl w:val="BBFC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95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D5"/>
    <w:rsid w:val="00135046"/>
    <w:rsid w:val="00271444"/>
    <w:rsid w:val="00B42DD5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8D7A"/>
  <w15:chartTrackingRefBased/>
  <w15:docId w15:val="{9BC99B5C-2BC5-49C0-BF6F-BE6700C2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2026-04-14T02:02:00Z</dcterms:created>
  <dcterms:modified xsi:type="dcterms:W3CDTF">2026-04-14T02:08:00Z</dcterms:modified>
</cp:coreProperties>
</file>