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74B2" w14:textId="77777777" w:rsidR="00E15B93" w:rsidRDefault="00E15B93" w:rsidP="00E15B93">
      <w:pPr>
        <w:spacing w:after="0" w:line="312" w:lineRule="auto"/>
        <w:jc w:val="both"/>
        <w:rPr>
          <w:rFonts w:ascii="Times New Roman" w:hAnsi="Times New Roman" w:cs="Times New Roman"/>
          <w:b/>
          <w:bCs/>
          <w:strike/>
          <w:sz w:val="32"/>
          <w:szCs w:val="32"/>
        </w:rPr>
      </w:pPr>
    </w:p>
    <w:p w14:paraId="1866EEC5" w14:textId="77777777" w:rsidR="00FC29C0" w:rsidRDefault="00E662D9" w:rsidP="00FC29C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Thuế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hộ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kinh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doanh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năm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2026: </w:t>
      </w:r>
    </w:p>
    <w:p w14:paraId="42431CF7" w14:textId="6439CC7E" w:rsidR="00992329" w:rsidRPr="00FC29C0" w:rsidRDefault="00E662D9" w:rsidP="00FC29C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Cải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cách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toàn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diện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và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yêu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cầu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thích</w:t>
      </w:r>
      <w:proofErr w:type="spellEnd"/>
      <w:r w:rsidRPr="00FC29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C29C0">
        <w:rPr>
          <w:rFonts w:ascii="Times New Roman" w:hAnsi="Times New Roman" w:cs="Times New Roman"/>
          <w:b/>
          <w:bCs/>
          <w:sz w:val="32"/>
          <w:szCs w:val="32"/>
        </w:rPr>
        <w:t>ứng</w:t>
      </w:r>
      <w:proofErr w:type="spellEnd"/>
    </w:p>
    <w:p w14:paraId="3BCD4FA0" w14:textId="21B545CA" w:rsidR="00992329" w:rsidRPr="00E15B93" w:rsidRDefault="00992329" w:rsidP="00FC29C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E15B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Nguyễn Thị Khánh Vân – Khoa </w:t>
      </w:r>
      <w:proofErr w:type="spellStart"/>
      <w:r w:rsidRPr="00E15B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Kế</w:t>
      </w:r>
      <w:proofErr w:type="spellEnd"/>
      <w:r w:rsidRPr="00E15B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toán</w:t>
      </w:r>
      <w:proofErr w:type="spellEnd"/>
    </w:p>
    <w:p w14:paraId="35875139" w14:textId="0E472E0A" w:rsidR="00111BC1" w:rsidRPr="00E15B93" w:rsidRDefault="00111BC1" w:rsidP="00E15B93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>Tóm</w:t>
      </w:r>
      <w:proofErr w:type="spellEnd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>tắt</w:t>
      </w:r>
      <w:proofErr w:type="spellEnd"/>
    </w:p>
    <w:p w14:paraId="38958153" w14:textId="77777777" w:rsidR="00E662D9" w:rsidRPr="00E15B93" w:rsidRDefault="00E662D9" w:rsidP="00FC29C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2026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>.</w:t>
      </w:r>
    </w:p>
    <w:p w14:paraId="650B53C1" w14:textId="68E44C8F" w:rsidR="00111BC1" w:rsidRPr="00E15B93" w:rsidRDefault="00111BC1" w:rsidP="00E15B93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>khóa</w:t>
      </w:r>
      <w:proofErr w:type="spellEnd"/>
      <w:r w:rsidRPr="00E15B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E15B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15B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15B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29C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FC29C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9CDE42" w14:textId="73F3A46A" w:rsidR="00111BC1" w:rsidRPr="00FC29C0" w:rsidRDefault="00111BC1" w:rsidP="00E15B93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9C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1.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Bối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cảnh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thuế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662D9" w:rsidRPr="00FC29C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</w:p>
    <w:p w14:paraId="5AAD80DA" w14:textId="77777777" w:rsidR="00E662D9" w:rsidRPr="00E662D9" w:rsidRDefault="00E662D9" w:rsidP="00FC29C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Việt Nam,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song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350F39" w14:textId="77777777" w:rsidR="00E662D9" w:rsidRPr="00E662D9" w:rsidRDefault="00E662D9" w:rsidP="00FC29C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khoán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giản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. Tuy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bối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mẽ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bộc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C52ED0" w14:textId="77777777" w:rsidR="00E662D9" w:rsidRPr="00E662D9" w:rsidRDefault="00E662D9" w:rsidP="00FC29C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khoán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chênh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lệch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A1C238" w14:textId="77777777" w:rsidR="00E662D9" w:rsidRPr="00E662D9" w:rsidRDefault="00E662D9" w:rsidP="00FC29C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bạch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chép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chi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A4C452" w14:textId="77777777" w:rsidR="00E662D9" w:rsidRPr="00E662D9" w:rsidRDefault="00E662D9" w:rsidP="00FC29C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khoán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662D9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662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E396DB" w14:textId="77777777" w:rsidR="00E662D9" w:rsidRPr="00E15B93" w:rsidRDefault="00E662D9" w:rsidP="00FC29C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15B9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2026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; (ii)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lastRenderedPageBreak/>
        <w:t>và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(iii)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5B9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15B93">
        <w:rPr>
          <w:rFonts w:ascii="Times New Roman" w:hAnsi="Times New Roman" w:cs="Times New Roman"/>
          <w:sz w:val="26"/>
          <w:szCs w:val="26"/>
        </w:rPr>
        <w:t>.</w:t>
      </w:r>
    </w:p>
    <w:p w14:paraId="5FFD1892" w14:textId="77777777" w:rsidR="00C47710" w:rsidRPr="00FC29C0" w:rsidRDefault="00111BC1" w:rsidP="00E15B93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9C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2.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thay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thuế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2026</w:t>
      </w:r>
    </w:p>
    <w:p w14:paraId="40F65E95" w14:textId="77777777" w:rsidR="00C47710" w:rsidRPr="00FC29C0" w:rsidRDefault="00111BC1" w:rsidP="00E15B93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9C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2.1.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Bãi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bỏ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thuế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khoán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sang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kê</w:t>
      </w:r>
      <w:proofErr w:type="spellEnd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7710" w:rsidRPr="00FC29C0">
        <w:rPr>
          <w:rFonts w:ascii="Times New Roman" w:hAnsi="Times New Roman" w:cs="Times New Roman"/>
          <w:b/>
          <w:bCs/>
          <w:sz w:val="26"/>
          <w:szCs w:val="26"/>
        </w:rPr>
        <w:t>khai</w:t>
      </w:r>
      <w:proofErr w:type="spellEnd"/>
    </w:p>
    <w:p w14:paraId="5EFCA668" w14:textId="77777777" w:rsidR="00C022B8" w:rsidRPr="00C022B8" w:rsidRDefault="00C022B8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198/2025/QH15,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bãi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2026. Quy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68/2026/NĐ-CP,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>, 2026).</w:t>
      </w:r>
    </w:p>
    <w:p w14:paraId="1D88D440" w14:textId="77777777" w:rsidR="00C022B8" w:rsidRPr="00C022B8" w:rsidRDefault="00C022B8" w:rsidP="000110A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Quản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108/2025/QH15,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(Quốc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, 2025a). Theo OECD (2019),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22B8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C02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4104B" w14:textId="77777777" w:rsidR="00C47710" w:rsidRPr="000110A2" w:rsidRDefault="00C47710" w:rsidP="000110A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10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2.2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ngưỡng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chịu</w:t>
      </w:r>
      <w:proofErr w:type="spellEnd"/>
      <w:r w:rsidRPr="000110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110A2">
        <w:rPr>
          <w:rFonts w:ascii="Times New Roman" w:hAnsi="Times New Roman" w:cs="Times New Roman"/>
          <w:b/>
          <w:bCs/>
          <w:sz w:val="26"/>
          <w:szCs w:val="26"/>
        </w:rPr>
        <w:t>thuế</w:t>
      </w:r>
      <w:proofErr w:type="spellEnd"/>
    </w:p>
    <w:p w14:paraId="20D454A2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68/2026/NĐ-CP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ngưỡng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GTGT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ngưỡng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ngưỡng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, 2026).</w:t>
      </w:r>
    </w:p>
    <w:p w14:paraId="0CBF9E7A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ngưỡng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gánh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(World Bank, 2023).</w:t>
      </w:r>
    </w:p>
    <w:p w14:paraId="2540D8F6" w14:textId="54A20FE0" w:rsidR="00C47710" w:rsidRPr="000110A2" w:rsidRDefault="001B1150" w:rsidP="00E15B93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0110A2">
        <w:rPr>
          <w:b/>
          <w:bCs/>
          <w:sz w:val="26"/>
          <w:szCs w:val="26"/>
        </w:rPr>
        <w:t xml:space="preserve">2.3 </w:t>
      </w:r>
      <w:proofErr w:type="spellStart"/>
      <w:r w:rsidRPr="000110A2">
        <w:rPr>
          <w:b/>
          <w:bCs/>
          <w:sz w:val="26"/>
          <w:szCs w:val="26"/>
        </w:rPr>
        <w:t>Đơn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giản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hóa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các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loại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thuế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áp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dụng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đối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với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hộ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kinh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0110A2">
        <w:rPr>
          <w:b/>
          <w:bCs/>
          <w:sz w:val="26"/>
          <w:szCs w:val="26"/>
        </w:rPr>
        <w:t>doanh</w:t>
      </w:r>
      <w:proofErr w:type="spellEnd"/>
    </w:p>
    <w:p w14:paraId="407FC0C5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GTGT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198/2025/QH15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bãi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(Quốc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, 2025b).</w:t>
      </w:r>
    </w:p>
    <w:p w14:paraId="001323FB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Theo OECD (2019),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phi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EB660" w14:textId="4035156A" w:rsidR="001B1150" w:rsidRPr="00A94BE5" w:rsidRDefault="001B1150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A94BE5">
        <w:rPr>
          <w:b/>
          <w:bCs/>
          <w:sz w:val="26"/>
          <w:szCs w:val="26"/>
        </w:rPr>
        <w:t xml:space="preserve">2.4 </w:t>
      </w:r>
      <w:proofErr w:type="spellStart"/>
      <w:r w:rsidRPr="00A94BE5">
        <w:rPr>
          <w:b/>
          <w:bCs/>
          <w:sz w:val="26"/>
          <w:szCs w:val="26"/>
        </w:rPr>
        <w:t>Đa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dạng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hóa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phương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pháp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tính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thuế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theo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hướng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tiệm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cận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thông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lệ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quốc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tế</w:t>
      </w:r>
      <w:proofErr w:type="spellEnd"/>
    </w:p>
    <w:p w14:paraId="4433B192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68/2026/NĐ-CP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bao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, 2026).</w:t>
      </w:r>
    </w:p>
    <w:p w14:paraId="0E2FF513" w14:textId="4AB0FBB3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Phương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Theo OECD (2019),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CED14B" w14:textId="35F3959A" w:rsidR="001B1150" w:rsidRPr="00A94BE5" w:rsidRDefault="001B1150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A94BE5">
        <w:rPr>
          <w:b/>
          <w:bCs/>
          <w:sz w:val="26"/>
          <w:szCs w:val="26"/>
        </w:rPr>
        <w:lastRenderedPageBreak/>
        <w:t xml:space="preserve">2.5 </w:t>
      </w:r>
      <w:proofErr w:type="spellStart"/>
      <w:r w:rsidRPr="00A94BE5">
        <w:rPr>
          <w:b/>
          <w:bCs/>
          <w:sz w:val="26"/>
          <w:szCs w:val="26"/>
        </w:rPr>
        <w:t>Tăng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cường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quản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lý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thuế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trên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nền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tảng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số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hóa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và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dữ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liệu</w:t>
      </w:r>
      <w:proofErr w:type="spellEnd"/>
    </w:p>
    <w:p w14:paraId="2FBAFF1C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Theo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68/2026/NĐ-CP,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, 2026).</w:t>
      </w:r>
    </w:p>
    <w:p w14:paraId="33D992FD" w14:textId="77777777" w:rsidR="00A94BE5" w:rsidRPr="00A94BE5" w:rsidRDefault="00A94BE5" w:rsidP="000110A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lận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World Bank (2023)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6816A" w14:textId="21E90E38" w:rsidR="001B1150" w:rsidRPr="00A455AC" w:rsidRDefault="00E15B93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A455AC">
        <w:rPr>
          <w:b/>
          <w:bCs/>
          <w:sz w:val="26"/>
          <w:szCs w:val="26"/>
        </w:rPr>
        <w:t xml:space="preserve">3. </w:t>
      </w:r>
      <w:proofErr w:type="spellStart"/>
      <w:r w:rsidRPr="00A455AC">
        <w:rPr>
          <w:b/>
          <w:bCs/>
          <w:sz w:val="26"/>
          <w:szCs w:val="26"/>
        </w:rPr>
        <w:t>Tác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động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của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chính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sách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thuế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mới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đối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với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hộ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kinh</w:t>
      </w:r>
      <w:proofErr w:type="spellEnd"/>
      <w:r w:rsidRPr="00A455AC">
        <w:rPr>
          <w:b/>
          <w:bCs/>
          <w:sz w:val="26"/>
          <w:szCs w:val="26"/>
        </w:rPr>
        <w:t xml:space="preserve"> </w:t>
      </w:r>
      <w:proofErr w:type="spellStart"/>
      <w:r w:rsidRPr="00A455AC">
        <w:rPr>
          <w:b/>
          <w:bCs/>
          <w:sz w:val="26"/>
          <w:szCs w:val="26"/>
        </w:rPr>
        <w:t>doanh</w:t>
      </w:r>
      <w:proofErr w:type="spellEnd"/>
    </w:p>
    <w:p w14:paraId="0E635D26" w14:textId="3A59F723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cải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năm</w:t>
      </w:r>
      <w:proofErr w:type="spellEnd"/>
      <w:r w:rsidRPr="00E15B93">
        <w:rPr>
          <w:sz w:val="26"/>
          <w:szCs w:val="26"/>
        </w:rPr>
        <w:t xml:space="preserve"> 2026 </w:t>
      </w:r>
      <w:proofErr w:type="spellStart"/>
      <w:r w:rsidRPr="00E15B93">
        <w:rPr>
          <w:sz w:val="26"/>
          <w:szCs w:val="26"/>
        </w:rPr>
        <w:t>dự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kiến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tạo</w:t>
      </w:r>
      <w:proofErr w:type="spellEnd"/>
      <w:r w:rsidRPr="00E15B93">
        <w:rPr>
          <w:sz w:val="26"/>
          <w:szCs w:val="26"/>
        </w:rPr>
        <w:t xml:space="preserve"> ra </w:t>
      </w:r>
      <w:proofErr w:type="spellStart"/>
      <w:r w:rsidRPr="00E15B93">
        <w:rPr>
          <w:sz w:val="26"/>
          <w:szCs w:val="26"/>
        </w:rPr>
        <w:t>những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chiều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đến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cả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người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nộp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quan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lý</w:t>
      </w:r>
      <w:proofErr w:type="spellEnd"/>
      <w:r w:rsidRPr="00E15B93">
        <w:rPr>
          <w:sz w:val="26"/>
          <w:szCs w:val="26"/>
        </w:rPr>
        <w:t xml:space="preserve">. Các </w:t>
      </w:r>
      <w:proofErr w:type="spellStart"/>
      <w:r w:rsidRPr="00E15B93">
        <w:rPr>
          <w:sz w:val="26"/>
          <w:szCs w:val="26"/>
        </w:rPr>
        <w:t>tác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này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được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phân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tích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trên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phương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diện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: </w:t>
      </w:r>
      <w:proofErr w:type="spellStart"/>
      <w:r w:rsidRPr="00E15B93">
        <w:rPr>
          <w:sz w:val="26"/>
          <w:szCs w:val="26"/>
        </w:rPr>
        <w:t>tác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tích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những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trong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trình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thi</w:t>
      </w:r>
      <w:proofErr w:type="spellEnd"/>
      <w:r w:rsidRPr="00E15B93">
        <w:rPr>
          <w:sz w:val="26"/>
          <w:szCs w:val="26"/>
        </w:rPr>
        <w:t>.</w:t>
      </w:r>
    </w:p>
    <w:p w14:paraId="286AC28C" w14:textId="5784AE0D" w:rsidR="00E15B93" w:rsidRPr="00A94BE5" w:rsidRDefault="00E15B93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A94BE5">
        <w:rPr>
          <w:b/>
          <w:bCs/>
          <w:sz w:val="26"/>
          <w:szCs w:val="26"/>
        </w:rPr>
        <w:t xml:space="preserve">3.1 </w:t>
      </w:r>
      <w:proofErr w:type="spellStart"/>
      <w:r w:rsidRPr="00A94BE5">
        <w:rPr>
          <w:b/>
          <w:bCs/>
          <w:sz w:val="26"/>
          <w:szCs w:val="26"/>
        </w:rPr>
        <w:t>Tác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động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tích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cực</w:t>
      </w:r>
      <w:proofErr w:type="spellEnd"/>
    </w:p>
    <w:p w14:paraId="383A5D44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nhất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góp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phần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nâng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cao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tính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công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bằng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trong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hệ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thống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thuế</w:t>
      </w:r>
      <w:proofErr w:type="spellEnd"/>
      <w:r w:rsidRPr="000110A2">
        <w:rPr>
          <w:b/>
          <w:bCs/>
          <w:sz w:val="26"/>
          <w:szCs w:val="26"/>
        </w:rPr>
        <w:t>.</w:t>
      </w:r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chuyển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khoán</w:t>
      </w:r>
      <w:proofErr w:type="spellEnd"/>
      <w:r w:rsidRPr="00E15B93">
        <w:rPr>
          <w:sz w:val="26"/>
          <w:szCs w:val="26"/>
        </w:rPr>
        <w:t xml:space="preserve"> sang </w:t>
      </w:r>
      <w:proofErr w:type="spellStart"/>
      <w:r w:rsidRPr="00E15B93">
        <w:rPr>
          <w:sz w:val="26"/>
          <w:szCs w:val="26"/>
        </w:rPr>
        <w:t>tự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kê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giúp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nghĩa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vụ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ánh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năng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tài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của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, qua </w:t>
      </w:r>
      <w:proofErr w:type="spellStart"/>
      <w:r w:rsidRPr="00E15B93">
        <w:rPr>
          <w:sz w:val="26"/>
          <w:szCs w:val="26"/>
        </w:rPr>
        <w:t>đó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tình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trạng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bất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bình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đẳng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giữa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tượng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nộp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(OECD, 2019).</w:t>
      </w:r>
    </w:p>
    <w:p w14:paraId="3218D006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hai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nâng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ngưỡng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doanh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thu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không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chịu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giúp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giảm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gánh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nặng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tài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chi </w:t>
      </w:r>
      <w:proofErr w:type="spellStart"/>
      <w:r w:rsidRPr="00E15B93">
        <w:rPr>
          <w:sz w:val="26"/>
          <w:szCs w:val="26"/>
        </w:rPr>
        <w:t>phí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tuân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thủ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nhỏ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siêu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nhỏ</w:t>
      </w:r>
      <w:proofErr w:type="spellEnd"/>
      <w:r w:rsidRPr="00E15B93">
        <w:rPr>
          <w:sz w:val="26"/>
          <w:szCs w:val="26"/>
        </w:rPr>
        <w:t xml:space="preserve">. Theo World Bank (2023),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miễn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giảm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mục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tiêu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rõ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ràng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thúc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đẩy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hoạt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ở </w:t>
      </w:r>
      <w:proofErr w:type="spellStart"/>
      <w:r w:rsidRPr="00E15B93">
        <w:rPr>
          <w:sz w:val="26"/>
          <w:szCs w:val="26"/>
        </w:rPr>
        <w:t>khu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vực</w:t>
      </w:r>
      <w:proofErr w:type="spellEnd"/>
      <w:r w:rsidRPr="00E15B93">
        <w:rPr>
          <w:sz w:val="26"/>
          <w:szCs w:val="26"/>
        </w:rPr>
        <w:t xml:space="preserve"> phi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hỗ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trợ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duy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trì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nhóm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nhập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thấp</w:t>
      </w:r>
      <w:proofErr w:type="spellEnd"/>
      <w:r w:rsidRPr="00E15B93">
        <w:rPr>
          <w:sz w:val="26"/>
          <w:szCs w:val="26"/>
        </w:rPr>
        <w:t>.</w:t>
      </w:r>
    </w:p>
    <w:p w14:paraId="7CF1333E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ba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cải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này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thúc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đẩy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minh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bạch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hóa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hoạt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động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tài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thông</w:t>
      </w:r>
      <w:proofErr w:type="spellEnd"/>
      <w:r w:rsidRPr="00E15B93">
        <w:rPr>
          <w:sz w:val="26"/>
          <w:szCs w:val="26"/>
        </w:rPr>
        <w:t xml:space="preserve"> qua </w:t>
      </w:r>
      <w:proofErr w:type="spellStart"/>
      <w:r w:rsidRPr="00E15B93">
        <w:rPr>
          <w:sz w:val="26"/>
          <w:szCs w:val="26"/>
        </w:rPr>
        <w:t>yêu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cầu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kê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khai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sử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dụng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hóa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điện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kết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dữ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liệu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giao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dịch</w:t>
      </w:r>
      <w:proofErr w:type="spellEnd"/>
      <w:r w:rsidRPr="00E15B93">
        <w:rPr>
          <w:sz w:val="26"/>
          <w:szCs w:val="26"/>
        </w:rPr>
        <w:t xml:space="preserve">. </w:t>
      </w:r>
      <w:proofErr w:type="spellStart"/>
      <w:r w:rsidRPr="00E15B93">
        <w:rPr>
          <w:sz w:val="26"/>
          <w:szCs w:val="26"/>
        </w:rPr>
        <w:t>Điều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này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chỉ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giúp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nâng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cao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hiệu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lý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còn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tạo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nền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tảng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tiếp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cận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tín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dụng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mở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rộng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của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(</w:t>
      </w:r>
      <w:proofErr w:type="spellStart"/>
      <w:r w:rsidRPr="00E15B93">
        <w:rPr>
          <w:sz w:val="26"/>
          <w:szCs w:val="26"/>
        </w:rPr>
        <w:t>Bộ</w:t>
      </w:r>
      <w:proofErr w:type="spellEnd"/>
      <w:r w:rsidRPr="00E15B93">
        <w:rPr>
          <w:sz w:val="26"/>
          <w:szCs w:val="26"/>
        </w:rPr>
        <w:t xml:space="preserve"> Tài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>, 2025).</w:t>
      </w:r>
    </w:p>
    <w:p w14:paraId="4C47D326" w14:textId="18160483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tư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tạo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chuyển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đổi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từ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hộ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kinh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doanh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sang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doanh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nghiệp</w:t>
      </w:r>
      <w:proofErr w:type="spellEnd"/>
      <w:r w:rsidRPr="000110A2">
        <w:rPr>
          <w:b/>
          <w:bCs/>
          <w:sz w:val="26"/>
          <w:szCs w:val="26"/>
        </w:rPr>
        <w:t>,</w:t>
      </w:r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chuẩn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về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toán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trị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tài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dần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được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tiệm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cận</w:t>
      </w:r>
      <w:proofErr w:type="spellEnd"/>
      <w:r w:rsidRPr="00E15B93">
        <w:rPr>
          <w:sz w:val="26"/>
          <w:szCs w:val="26"/>
        </w:rPr>
        <w:t xml:space="preserve">. </w:t>
      </w:r>
      <w:proofErr w:type="spellStart"/>
      <w:r w:rsidRPr="00E15B93">
        <w:rPr>
          <w:sz w:val="26"/>
          <w:szCs w:val="26"/>
        </w:rPr>
        <w:t>Đây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là</w:t>
      </w:r>
      <w:proofErr w:type="spellEnd"/>
      <w:r w:rsidRPr="00E15B93">
        <w:rPr>
          <w:sz w:val="26"/>
          <w:szCs w:val="26"/>
        </w:rPr>
        <w:t xml:space="preserve"> xu </w:t>
      </w:r>
      <w:proofErr w:type="spellStart"/>
      <w:r w:rsidRPr="00E15B93">
        <w:rPr>
          <w:sz w:val="26"/>
          <w:szCs w:val="26"/>
        </w:rPr>
        <w:t>hướng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được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khuyến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khích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trong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nhiều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nền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nhằm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mở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rộng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tăng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năng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suất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lao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(World Bank, 2023).</w:t>
      </w:r>
    </w:p>
    <w:p w14:paraId="1FB7DCA0" w14:textId="5D5C9A1E" w:rsidR="00E15B93" w:rsidRPr="00A94BE5" w:rsidRDefault="00E15B93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r w:rsidRPr="00A94BE5">
        <w:rPr>
          <w:b/>
          <w:bCs/>
          <w:sz w:val="26"/>
          <w:szCs w:val="26"/>
        </w:rPr>
        <w:t xml:space="preserve">3.2 </w:t>
      </w:r>
      <w:proofErr w:type="spellStart"/>
      <w:r w:rsidRPr="00A94BE5">
        <w:rPr>
          <w:b/>
          <w:bCs/>
          <w:sz w:val="26"/>
          <w:szCs w:val="26"/>
        </w:rPr>
        <w:t>Thách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thức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trong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quá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trình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thực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thi</w:t>
      </w:r>
      <w:proofErr w:type="spellEnd"/>
    </w:p>
    <w:p w14:paraId="1EF26C05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Bên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cạnh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những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tích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cực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cũng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đặt</w:t>
      </w:r>
      <w:proofErr w:type="spellEnd"/>
      <w:r w:rsidRPr="00E15B93">
        <w:rPr>
          <w:sz w:val="26"/>
          <w:szCs w:val="26"/>
        </w:rPr>
        <w:t xml:space="preserve"> ra </w:t>
      </w:r>
      <w:proofErr w:type="spellStart"/>
      <w:r w:rsidRPr="00E15B93">
        <w:rPr>
          <w:sz w:val="26"/>
          <w:szCs w:val="26"/>
        </w:rPr>
        <w:t>không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ít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thức</w:t>
      </w:r>
      <w:proofErr w:type="spellEnd"/>
      <w:r w:rsidRPr="00E15B93">
        <w:rPr>
          <w:sz w:val="26"/>
          <w:szCs w:val="26"/>
        </w:rPr>
        <w:t>.</w:t>
      </w:r>
    </w:p>
    <w:p w14:paraId="5526B9B5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lastRenderedPageBreak/>
        <w:t>Trước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hết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nhiều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hiện</w:t>
      </w:r>
      <w:proofErr w:type="spellEnd"/>
      <w:r w:rsidRPr="00E15B93">
        <w:rPr>
          <w:sz w:val="26"/>
          <w:szCs w:val="26"/>
        </w:rPr>
        <w:t xml:space="preserve"> nay </w:t>
      </w:r>
      <w:proofErr w:type="spellStart"/>
      <w:r w:rsidRPr="00E15B93">
        <w:rPr>
          <w:sz w:val="26"/>
          <w:szCs w:val="26"/>
        </w:rPr>
        <w:t>còn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về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năng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lực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kế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toán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quản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lý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tài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chính</w:t>
      </w:r>
      <w:proofErr w:type="spellEnd"/>
      <w:r w:rsidRPr="000110A2">
        <w:rPr>
          <w:b/>
          <w:bCs/>
          <w:sz w:val="26"/>
          <w:szCs w:val="26"/>
        </w:rPr>
        <w:t>,</w:t>
      </w:r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dẫn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đến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khăn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trong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hiện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kê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lưu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trữ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chứng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</w:t>
      </w:r>
      <w:proofErr w:type="spellEnd"/>
      <w:r w:rsidRPr="00E15B93">
        <w:rPr>
          <w:sz w:val="26"/>
          <w:szCs w:val="26"/>
        </w:rPr>
        <w:t xml:space="preserve">. Theo OECD (2019), chi </w:t>
      </w:r>
      <w:proofErr w:type="spellStart"/>
      <w:r w:rsidRPr="00E15B93">
        <w:rPr>
          <w:sz w:val="26"/>
          <w:szCs w:val="26"/>
        </w:rPr>
        <w:t>phí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tuân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thủ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thường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rào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lớn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vị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mô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nhỏ</w:t>
      </w:r>
      <w:proofErr w:type="spellEnd"/>
      <w:r w:rsidRPr="00E15B93">
        <w:rPr>
          <w:sz w:val="26"/>
          <w:szCs w:val="26"/>
        </w:rPr>
        <w:t>.</w:t>
      </w:r>
    </w:p>
    <w:p w14:paraId="49AF2FF1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hai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việc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triển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yêu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cầu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về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kê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khai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điện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tử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hóa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đơn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điện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đòi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hỏi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tầng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nghệ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kỹ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năng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sử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dụng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nghệ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thông</w:t>
      </w:r>
      <w:proofErr w:type="spellEnd"/>
      <w:r w:rsidRPr="00E15B93">
        <w:rPr>
          <w:sz w:val="26"/>
          <w:szCs w:val="26"/>
        </w:rPr>
        <w:t xml:space="preserve"> tin </w:t>
      </w:r>
      <w:proofErr w:type="spellStart"/>
      <w:r w:rsidRPr="00E15B93">
        <w:rPr>
          <w:sz w:val="26"/>
          <w:szCs w:val="26"/>
        </w:rPr>
        <w:t>nhất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định</w:t>
      </w:r>
      <w:proofErr w:type="spellEnd"/>
      <w:r w:rsidRPr="00E15B93">
        <w:rPr>
          <w:sz w:val="26"/>
          <w:szCs w:val="26"/>
        </w:rPr>
        <w:t xml:space="preserve">. </w:t>
      </w:r>
      <w:proofErr w:type="spellStart"/>
      <w:r w:rsidRPr="00E15B93">
        <w:rPr>
          <w:sz w:val="26"/>
          <w:szCs w:val="26"/>
        </w:rPr>
        <w:t>Điều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này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gây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trở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ngại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doanh</w:t>
      </w:r>
      <w:proofErr w:type="spellEnd"/>
      <w:r w:rsidRPr="00E15B93">
        <w:rPr>
          <w:sz w:val="26"/>
          <w:szCs w:val="26"/>
        </w:rPr>
        <w:t xml:space="preserve"> ở </w:t>
      </w:r>
      <w:proofErr w:type="spellStart"/>
      <w:r w:rsidRPr="00E15B93">
        <w:rPr>
          <w:sz w:val="26"/>
          <w:szCs w:val="26"/>
        </w:rPr>
        <w:t>khu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thôn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hoặc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tiếp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cận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nghệ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thấp</w:t>
      </w:r>
      <w:proofErr w:type="spellEnd"/>
      <w:r w:rsidRPr="00E15B93">
        <w:rPr>
          <w:sz w:val="26"/>
          <w:szCs w:val="26"/>
        </w:rPr>
        <w:t xml:space="preserve"> (</w:t>
      </w:r>
      <w:proofErr w:type="spellStart"/>
      <w:r w:rsidRPr="00E15B93">
        <w:rPr>
          <w:sz w:val="26"/>
          <w:szCs w:val="26"/>
        </w:rPr>
        <w:t>Bộ</w:t>
      </w:r>
      <w:proofErr w:type="spellEnd"/>
      <w:r w:rsidRPr="00E15B93">
        <w:rPr>
          <w:sz w:val="26"/>
          <w:szCs w:val="26"/>
        </w:rPr>
        <w:t xml:space="preserve"> Tài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>, 2025).</w:t>
      </w:r>
    </w:p>
    <w:p w14:paraId="60CF0C90" w14:textId="77777777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Thứ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ba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trong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đoạn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đầu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chuyển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đổi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phát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tâm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lý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e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ngại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chưa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sẵn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sàng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tuân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thủ</w:t>
      </w:r>
      <w:proofErr w:type="spellEnd"/>
      <w:r w:rsidRPr="000110A2">
        <w:rPr>
          <w:b/>
          <w:bCs/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phía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người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nộp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thuế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đặc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biệt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chuyển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khoán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đơn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giản</w:t>
      </w:r>
      <w:proofErr w:type="spellEnd"/>
      <w:r w:rsidRPr="00E15B93">
        <w:rPr>
          <w:sz w:val="26"/>
          <w:szCs w:val="26"/>
        </w:rPr>
        <w:t xml:space="preserve"> sang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tự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kê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khai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tạp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hơn</w:t>
      </w:r>
      <w:proofErr w:type="spellEnd"/>
      <w:r w:rsidRPr="00E15B93">
        <w:rPr>
          <w:sz w:val="26"/>
          <w:szCs w:val="26"/>
        </w:rPr>
        <w:t xml:space="preserve">. </w:t>
      </w:r>
      <w:proofErr w:type="spellStart"/>
      <w:r w:rsidRPr="00E15B93">
        <w:rPr>
          <w:sz w:val="26"/>
          <w:szCs w:val="26"/>
        </w:rPr>
        <w:t>Nghiên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cứu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của</w:t>
      </w:r>
      <w:proofErr w:type="spellEnd"/>
      <w:r w:rsidRPr="00E15B93">
        <w:rPr>
          <w:sz w:val="26"/>
          <w:szCs w:val="26"/>
        </w:rPr>
        <w:t xml:space="preserve"> World Bank (2023) </w:t>
      </w:r>
      <w:proofErr w:type="spellStart"/>
      <w:r w:rsidRPr="00E15B93">
        <w:rPr>
          <w:sz w:val="26"/>
          <w:szCs w:val="26"/>
        </w:rPr>
        <w:t>cho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thấy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mức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độ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chấp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nhận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sách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mới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phụ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thuộc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lớn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hiệu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truyền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hỗ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trợ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từ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quan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lý</w:t>
      </w:r>
      <w:proofErr w:type="spellEnd"/>
      <w:r w:rsidRPr="00E15B93">
        <w:rPr>
          <w:sz w:val="26"/>
          <w:szCs w:val="26"/>
        </w:rPr>
        <w:t>.</w:t>
      </w:r>
    </w:p>
    <w:p w14:paraId="0221CC41" w14:textId="44916975" w:rsidR="00E15B93" w:rsidRPr="00E15B93" w:rsidRDefault="00E15B93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 w:rsidRPr="00E15B93">
        <w:rPr>
          <w:sz w:val="26"/>
          <w:szCs w:val="26"/>
        </w:rPr>
        <w:t>Cuối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cùng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nguy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gian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lận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hoặc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khai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báo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không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trung</w:t>
      </w:r>
      <w:proofErr w:type="spellEnd"/>
      <w:r w:rsidRPr="000110A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0110A2">
        <w:rPr>
          <w:rStyle w:val="Strong"/>
          <w:b w:val="0"/>
          <w:bCs w:val="0"/>
          <w:sz w:val="26"/>
          <w:szCs w:val="26"/>
        </w:rPr>
        <w:t>thực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vẫn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có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xảy</w:t>
      </w:r>
      <w:proofErr w:type="spellEnd"/>
      <w:r w:rsidRPr="00E15B93">
        <w:rPr>
          <w:sz w:val="26"/>
          <w:szCs w:val="26"/>
        </w:rPr>
        <w:t xml:space="preserve"> ra </w:t>
      </w:r>
      <w:proofErr w:type="spellStart"/>
      <w:r w:rsidRPr="00E15B93">
        <w:rPr>
          <w:sz w:val="26"/>
          <w:szCs w:val="26"/>
        </w:rPr>
        <w:t>nếu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thiếu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các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cụ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kiểm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soát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hiệu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quả</w:t>
      </w:r>
      <w:proofErr w:type="spellEnd"/>
      <w:r w:rsidRPr="00E15B93">
        <w:rPr>
          <w:sz w:val="26"/>
          <w:szCs w:val="26"/>
        </w:rPr>
        <w:t xml:space="preserve">. Do </w:t>
      </w:r>
      <w:proofErr w:type="spellStart"/>
      <w:r w:rsidRPr="00E15B93">
        <w:rPr>
          <w:sz w:val="26"/>
          <w:szCs w:val="26"/>
        </w:rPr>
        <w:t>đó</w:t>
      </w:r>
      <w:proofErr w:type="spellEnd"/>
      <w:r w:rsidRPr="00E15B93">
        <w:rPr>
          <w:sz w:val="26"/>
          <w:szCs w:val="26"/>
        </w:rPr>
        <w:t xml:space="preserve">, </w:t>
      </w:r>
      <w:proofErr w:type="spellStart"/>
      <w:r w:rsidRPr="00E15B93">
        <w:rPr>
          <w:sz w:val="26"/>
          <w:szCs w:val="26"/>
        </w:rPr>
        <w:t>cần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tăng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cường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ứng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dụng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công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nghệ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dữ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liệu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cơ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chế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hậu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kiểm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để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đảm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bảo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tính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tuân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thủ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và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minh</w:t>
      </w:r>
      <w:proofErr w:type="spellEnd"/>
      <w:r w:rsidRPr="00E15B93">
        <w:rPr>
          <w:sz w:val="26"/>
          <w:szCs w:val="26"/>
        </w:rPr>
        <w:t xml:space="preserve"> </w:t>
      </w:r>
      <w:proofErr w:type="spellStart"/>
      <w:r w:rsidRPr="00E15B93">
        <w:rPr>
          <w:sz w:val="26"/>
          <w:szCs w:val="26"/>
        </w:rPr>
        <w:t>bạch</w:t>
      </w:r>
      <w:proofErr w:type="spellEnd"/>
      <w:r w:rsidRPr="00E15B93">
        <w:rPr>
          <w:sz w:val="26"/>
          <w:szCs w:val="26"/>
        </w:rPr>
        <w:t>.</w:t>
      </w:r>
    </w:p>
    <w:p w14:paraId="19879150" w14:textId="61B08FC1" w:rsidR="00E15B93" w:rsidRPr="00A94BE5" w:rsidRDefault="00E15B93" w:rsidP="000110A2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6"/>
          <w:szCs w:val="26"/>
        </w:rPr>
      </w:pPr>
      <w:proofErr w:type="spellStart"/>
      <w:r w:rsidRPr="00A94BE5">
        <w:rPr>
          <w:b/>
          <w:bCs/>
          <w:sz w:val="26"/>
          <w:szCs w:val="26"/>
        </w:rPr>
        <w:t>Kết</w:t>
      </w:r>
      <w:proofErr w:type="spellEnd"/>
      <w:r w:rsidRPr="00A94BE5">
        <w:rPr>
          <w:b/>
          <w:bCs/>
          <w:sz w:val="26"/>
          <w:szCs w:val="26"/>
        </w:rPr>
        <w:t xml:space="preserve"> </w:t>
      </w:r>
      <w:proofErr w:type="spellStart"/>
      <w:r w:rsidRPr="00A94BE5">
        <w:rPr>
          <w:b/>
          <w:bCs/>
          <w:sz w:val="26"/>
          <w:szCs w:val="26"/>
        </w:rPr>
        <w:t>luận</w:t>
      </w:r>
      <w:proofErr w:type="spellEnd"/>
      <w:r w:rsidRPr="00A94BE5">
        <w:rPr>
          <w:b/>
          <w:bCs/>
          <w:sz w:val="26"/>
          <w:szCs w:val="26"/>
        </w:rPr>
        <w:t xml:space="preserve"> </w:t>
      </w:r>
    </w:p>
    <w:p w14:paraId="1542830C" w14:textId="3C769B48" w:rsidR="00E15B93" w:rsidRPr="00E15B93" w:rsidRDefault="00A94BE5" w:rsidP="000110A2">
      <w:pPr>
        <w:pStyle w:val="NormalWeb"/>
        <w:spacing w:before="0" w:beforeAutospacing="0" w:after="0" w:afterAutospacing="0" w:line="312" w:lineRule="auto"/>
        <w:ind w:firstLine="720"/>
        <w:jc w:val="both"/>
        <w:rPr>
          <w:sz w:val="26"/>
          <w:szCs w:val="26"/>
        </w:rPr>
      </w:pP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Việt Nam. Khung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phi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 w:rsidR="00E15B93" w:rsidRPr="00E15B93">
        <w:rPr>
          <w:sz w:val="26"/>
          <w:szCs w:val="26"/>
        </w:rPr>
        <w:t>.</w:t>
      </w:r>
    </w:p>
    <w:p w14:paraId="1E3B0CED" w14:textId="77777777" w:rsidR="00E15B93" w:rsidRPr="00E15B93" w:rsidRDefault="00E15B93" w:rsidP="00E15B93">
      <w:pPr>
        <w:pStyle w:val="NormalWeb"/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E15B93">
        <w:rPr>
          <w:rStyle w:val="Strong"/>
          <w:sz w:val="26"/>
          <w:szCs w:val="26"/>
        </w:rPr>
        <w:t xml:space="preserve">Tài </w:t>
      </w:r>
      <w:proofErr w:type="spellStart"/>
      <w:r w:rsidRPr="00E15B93">
        <w:rPr>
          <w:rStyle w:val="Strong"/>
          <w:sz w:val="26"/>
          <w:szCs w:val="26"/>
        </w:rPr>
        <w:t>liệu</w:t>
      </w:r>
      <w:proofErr w:type="spellEnd"/>
      <w:r w:rsidRPr="00E15B93">
        <w:rPr>
          <w:rStyle w:val="Strong"/>
          <w:sz w:val="26"/>
          <w:szCs w:val="26"/>
        </w:rPr>
        <w:t xml:space="preserve"> </w:t>
      </w:r>
      <w:proofErr w:type="spellStart"/>
      <w:r w:rsidRPr="00E15B93">
        <w:rPr>
          <w:rStyle w:val="Strong"/>
          <w:sz w:val="26"/>
          <w:szCs w:val="26"/>
        </w:rPr>
        <w:t>tham</w:t>
      </w:r>
      <w:proofErr w:type="spellEnd"/>
      <w:r w:rsidRPr="00E15B93">
        <w:rPr>
          <w:rStyle w:val="Strong"/>
          <w:sz w:val="26"/>
          <w:szCs w:val="26"/>
        </w:rPr>
        <w:t xml:space="preserve"> </w:t>
      </w:r>
      <w:proofErr w:type="spellStart"/>
      <w:r w:rsidRPr="00E15B93">
        <w:rPr>
          <w:rStyle w:val="Strong"/>
          <w:sz w:val="26"/>
          <w:szCs w:val="26"/>
        </w:rPr>
        <w:t>khảo</w:t>
      </w:r>
      <w:proofErr w:type="spellEnd"/>
    </w:p>
    <w:p w14:paraId="354C8516" w14:textId="77777777" w:rsidR="00A94BE5" w:rsidRPr="00A94BE5" w:rsidRDefault="00A94BE5" w:rsidP="00A9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(2026).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68/2026/NĐ-CP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quản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đối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hộ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cá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nhân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kinh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A74F5" w14:textId="77777777" w:rsidR="00A94BE5" w:rsidRPr="00A94BE5" w:rsidRDefault="00A94BE5" w:rsidP="00A9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OECD. (2019). </w:t>
      </w:r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Tax Administration 2019: Comparative Information on OECD and Other Advanced and Emerging Economies</w:t>
      </w:r>
      <w:r w:rsidRPr="00A94BE5">
        <w:rPr>
          <w:rFonts w:ascii="Times New Roman" w:eastAsia="Times New Roman" w:hAnsi="Times New Roman" w:cs="Times New Roman"/>
          <w:sz w:val="24"/>
          <w:szCs w:val="24"/>
        </w:rPr>
        <w:t>. OECD Publishing.</w:t>
      </w:r>
    </w:p>
    <w:p w14:paraId="6785BE48" w14:textId="77777777" w:rsidR="00A94BE5" w:rsidRPr="00A94BE5" w:rsidRDefault="00A94BE5" w:rsidP="00A9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Quốc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(2025a).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Quản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108/2025/QH15</w:t>
      </w:r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1C3D9" w14:textId="77777777" w:rsidR="00A94BE5" w:rsidRPr="00A94BE5" w:rsidRDefault="00A94BE5" w:rsidP="00A9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Quốc </w:t>
      </w:r>
      <w:proofErr w:type="spellStart"/>
      <w:r w:rsidRPr="00A94BE5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. (2025b).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quyết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198/2025/QH15</w:t>
      </w:r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320B1" w14:textId="77777777" w:rsidR="00A94BE5" w:rsidRPr="00A94BE5" w:rsidRDefault="00A94BE5" w:rsidP="00A9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BE5">
        <w:rPr>
          <w:rFonts w:ascii="Times New Roman" w:eastAsia="Times New Roman" w:hAnsi="Times New Roman" w:cs="Times New Roman"/>
          <w:sz w:val="24"/>
          <w:szCs w:val="24"/>
        </w:rPr>
        <w:t xml:space="preserve">World Bank. (2023). </w:t>
      </w:r>
      <w:r w:rsidRPr="00A94BE5">
        <w:rPr>
          <w:rFonts w:ascii="Times New Roman" w:eastAsia="Times New Roman" w:hAnsi="Times New Roman" w:cs="Times New Roman"/>
          <w:i/>
          <w:iCs/>
          <w:sz w:val="24"/>
          <w:szCs w:val="24"/>
        </w:rPr>
        <w:t>Vietnam Tax Administration Reform Report</w:t>
      </w:r>
      <w:r w:rsidRPr="00A94B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7CEF9E" w14:textId="77777777" w:rsidR="00FE59A1" w:rsidRPr="00E15B93" w:rsidRDefault="00FE59A1" w:rsidP="00E15B9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E59A1" w:rsidRPr="00E1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131D"/>
    <w:multiLevelType w:val="multilevel"/>
    <w:tmpl w:val="E232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30D71"/>
    <w:multiLevelType w:val="multilevel"/>
    <w:tmpl w:val="D8F0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64B62"/>
    <w:multiLevelType w:val="multilevel"/>
    <w:tmpl w:val="4F64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B3D22"/>
    <w:multiLevelType w:val="multilevel"/>
    <w:tmpl w:val="1AA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C2C08"/>
    <w:multiLevelType w:val="multilevel"/>
    <w:tmpl w:val="C0D6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wMjIxtzS0NDY1MTFX0lEKTi0uzszPAykwrgUAAxnqSCwAAAA="/>
  </w:docVars>
  <w:rsids>
    <w:rsidRoot w:val="00111BC1"/>
    <w:rsid w:val="000110A2"/>
    <w:rsid w:val="00111BC1"/>
    <w:rsid w:val="001B1150"/>
    <w:rsid w:val="00240C5D"/>
    <w:rsid w:val="00992329"/>
    <w:rsid w:val="00A455AC"/>
    <w:rsid w:val="00A94BE5"/>
    <w:rsid w:val="00AE025B"/>
    <w:rsid w:val="00C022B8"/>
    <w:rsid w:val="00C47710"/>
    <w:rsid w:val="00E15B93"/>
    <w:rsid w:val="00E662D9"/>
    <w:rsid w:val="00F34697"/>
    <w:rsid w:val="00FC29C0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55DF"/>
  <w15:chartTrackingRefBased/>
  <w15:docId w15:val="{F3340D18-31E2-4611-96EE-FCBBF57E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1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1B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BC1"/>
    <w:rPr>
      <w:b/>
      <w:bCs/>
    </w:rPr>
  </w:style>
  <w:style w:type="character" w:styleId="Emphasis">
    <w:name w:val="Emphasis"/>
    <w:basedOn w:val="DefaultParagraphFont"/>
    <w:uiPriority w:val="20"/>
    <w:qFormat/>
    <w:rsid w:val="00111BC1"/>
    <w:rPr>
      <w:i/>
      <w:iCs/>
    </w:rPr>
  </w:style>
  <w:style w:type="paragraph" w:styleId="ListParagraph">
    <w:name w:val="List Paragraph"/>
    <w:basedOn w:val="Normal"/>
    <w:uiPriority w:val="34"/>
    <w:qFormat/>
    <w:rsid w:val="00111BC1"/>
    <w:pPr>
      <w:ind w:left="720"/>
      <w:contextualSpacing/>
    </w:pPr>
  </w:style>
  <w:style w:type="paragraph" w:customStyle="1" w:styleId="isselectedend">
    <w:name w:val="isselectedend"/>
    <w:basedOn w:val="Normal"/>
    <w:rsid w:val="00E6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2026-03-15T04:27:00Z</dcterms:created>
  <dcterms:modified xsi:type="dcterms:W3CDTF">2026-04-16T07:23:00Z</dcterms:modified>
</cp:coreProperties>
</file>