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C6" w:rsidRPr="002523C6" w:rsidRDefault="002523C6" w:rsidP="002523C6">
      <w:pPr>
        <w:spacing w:after="0" w:line="380" w:lineRule="exact"/>
        <w:jc w:val="center"/>
        <w:rPr>
          <w:rFonts w:ascii="Times New Roman" w:eastAsia="Times New Roman" w:hAnsi="Times New Roman" w:cs="Times New Roman"/>
          <w:b/>
          <w:bCs/>
          <w:kern w:val="36"/>
          <w:sz w:val="28"/>
          <w:szCs w:val="28"/>
        </w:rPr>
      </w:pPr>
      <w:r w:rsidRPr="002523C6">
        <w:rPr>
          <w:rFonts w:ascii="Times New Roman" w:eastAsia="Times New Roman" w:hAnsi="Times New Roman" w:cs="Times New Roman"/>
          <w:b/>
          <w:bCs/>
          <w:kern w:val="36"/>
          <w:sz w:val="28"/>
          <w:szCs w:val="28"/>
        </w:rPr>
        <w:t>MỘT SỐ ĐIỂM MỚI CỦA LUẬT BẢO HIỂM XÃ HỘI NĂM 2026</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 xml:space="preserve"> (1) Mở rộng đối tượng tham gia BHXH</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khoản 1 Điều 2 </w:t>
      </w:r>
      <w:hyperlink r:id="rId6"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xml:space="preserve"> bổ sung thêm 07 đối tượng người </w:t>
      </w:r>
      <w:proofErr w:type="gramStart"/>
      <w:r w:rsidRPr="002523C6">
        <w:rPr>
          <w:rFonts w:ascii="Times New Roman" w:eastAsia="Times New Roman" w:hAnsi="Times New Roman" w:cs="Times New Roman"/>
          <w:sz w:val="24"/>
          <w:szCs w:val="24"/>
        </w:rPr>
        <w:t>lao</w:t>
      </w:r>
      <w:proofErr w:type="gramEnd"/>
      <w:r w:rsidRPr="002523C6">
        <w:rPr>
          <w:rFonts w:ascii="Times New Roman" w:eastAsia="Times New Roman" w:hAnsi="Times New Roman" w:cs="Times New Roman"/>
          <w:sz w:val="24"/>
          <w:szCs w:val="24"/>
        </w:rPr>
        <w:t xml:space="preserve"> động phải tham gia BHXH bắt buộc gồm:</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Người lao động ký hợp đồng lao động có thời hạn từ đủ 01 tháng trở lên mà làm việc không trọn thời gian, có tiền lương trong tháng bằng hoặc cao hơn tiền lương làm căn cứ đóng bảo hiểm xã hội bắt buộc thấp nhất.</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Người hoạt động không chuyên trách ở thôn, tổ dân phố;</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 Chủ hộ kinh doanh của hộ kinh doanh có đăng ký kinh doanh tham gia </w:t>
      </w:r>
      <w:proofErr w:type="gramStart"/>
      <w:r w:rsidRPr="002523C6">
        <w:rPr>
          <w:rFonts w:ascii="Times New Roman" w:eastAsia="Times New Roman" w:hAnsi="Times New Roman" w:cs="Times New Roman"/>
          <w:sz w:val="24"/>
          <w:szCs w:val="24"/>
        </w:rPr>
        <w:t>theo</w:t>
      </w:r>
      <w:proofErr w:type="gramEnd"/>
      <w:r w:rsidRPr="002523C6">
        <w:rPr>
          <w:rFonts w:ascii="Times New Roman" w:eastAsia="Times New Roman" w:hAnsi="Times New Roman" w:cs="Times New Roman"/>
          <w:sz w:val="24"/>
          <w:szCs w:val="24"/>
        </w:rPr>
        <w:t xml:space="preserve"> quy định của Chính phủ.</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Viên chức quốc phòng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Dân quân thường trực</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Người lao động là công dân nước ngoài làm việc tại Việt Nam theo hợp đồng lao động xác định thời hạn có thời hạn từ đủ 12 tháng trở lên với người sử dụng lao động tại Việt Nam, trừ các trường hợp sau:</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 Di chuyển trong nội bộ doanh nghiệp </w:t>
      </w:r>
      <w:proofErr w:type="gramStart"/>
      <w:r w:rsidRPr="002523C6">
        <w:rPr>
          <w:rFonts w:ascii="Times New Roman" w:eastAsia="Times New Roman" w:hAnsi="Times New Roman" w:cs="Times New Roman"/>
          <w:sz w:val="24"/>
          <w:szCs w:val="24"/>
        </w:rPr>
        <w:t>theo</w:t>
      </w:r>
      <w:proofErr w:type="gramEnd"/>
      <w:r w:rsidRPr="002523C6">
        <w:rPr>
          <w:rFonts w:ascii="Times New Roman" w:eastAsia="Times New Roman" w:hAnsi="Times New Roman" w:cs="Times New Roman"/>
          <w:sz w:val="24"/>
          <w:szCs w:val="24"/>
        </w:rPr>
        <w:t xml:space="preserve"> quy định của pháp luật về người lao động nước ngoài làm việc tại Việt Nam;</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 Tại thời điểm giao kết hợp đồng </w:t>
      </w:r>
      <w:proofErr w:type="gramStart"/>
      <w:r w:rsidRPr="002523C6">
        <w:rPr>
          <w:rFonts w:ascii="Times New Roman" w:eastAsia="Times New Roman" w:hAnsi="Times New Roman" w:cs="Times New Roman"/>
          <w:sz w:val="24"/>
          <w:szCs w:val="24"/>
        </w:rPr>
        <w:t>lao</w:t>
      </w:r>
      <w:proofErr w:type="gramEnd"/>
      <w:r w:rsidRPr="002523C6">
        <w:rPr>
          <w:rFonts w:ascii="Times New Roman" w:eastAsia="Times New Roman" w:hAnsi="Times New Roman" w:cs="Times New Roman"/>
          <w:sz w:val="24"/>
          <w:szCs w:val="24"/>
        </w:rPr>
        <w:t xml:space="preserve"> động đã đủ tuổi nghỉ hưu theo quy định tại khoản 2 Điều 169 </w:t>
      </w:r>
      <w:hyperlink r:id="rId7" w:tgtFrame="_blank" w:history="1">
        <w:r w:rsidRPr="002523C6">
          <w:rPr>
            <w:rFonts w:ascii="Times New Roman" w:eastAsia="Times New Roman" w:hAnsi="Times New Roman" w:cs="Times New Roman"/>
            <w:sz w:val="24"/>
            <w:szCs w:val="24"/>
          </w:rPr>
          <w:t>Bộ luật Lao động 2019</w:t>
        </w:r>
      </w:hyperlink>
      <w:r w:rsidRPr="002523C6">
        <w:rPr>
          <w:rFonts w:ascii="Times New Roman" w:eastAsia="Times New Roman" w:hAnsi="Times New Roman" w:cs="Times New Roman"/>
          <w:sz w:val="24"/>
          <w:szCs w:val="24"/>
        </w:rPr>
        <w:t>;</w:t>
      </w:r>
    </w:p>
    <w:p w:rsidR="002523C6" w:rsidRPr="002523C6" w:rsidRDefault="002523C6" w:rsidP="002523C6">
      <w:pPr>
        <w:spacing w:after="0" w:line="380" w:lineRule="exact"/>
        <w:jc w:val="both"/>
        <w:rPr>
          <w:rFonts w:ascii="Times New Roman" w:eastAsia="Times New Roman" w:hAnsi="Times New Roman" w:cs="Times New Roman"/>
          <w:sz w:val="24"/>
          <w:szCs w:val="24"/>
        </w:rPr>
      </w:pPr>
      <w:proofErr w:type="gramStart"/>
      <w:r w:rsidRPr="002523C6">
        <w:rPr>
          <w:rFonts w:ascii="Times New Roman" w:eastAsia="Times New Roman" w:hAnsi="Times New Roman" w:cs="Times New Roman"/>
          <w:sz w:val="24"/>
          <w:szCs w:val="24"/>
        </w:rPr>
        <w:t>+ Điều ước quốc tế mà nước Cộng hòa xã hội chủ nghĩa Việt Nam là thành viên có quy định khác.</w:t>
      </w:r>
      <w:proofErr w:type="gramEnd"/>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khoản 4 Điều 2</w:t>
      </w:r>
      <w:hyperlink r:id="rId8" w:tgtFrame="_blank" w:history="1">
        <w:r w:rsidRPr="002523C6">
          <w:rPr>
            <w:rFonts w:ascii="Times New Roman" w:eastAsia="Times New Roman" w:hAnsi="Times New Roman" w:cs="Times New Roman"/>
            <w:sz w:val="24"/>
            <w:szCs w:val="24"/>
          </w:rPr>
          <w:t> Luật Bảo hiểm xã hội 2024</w:t>
        </w:r>
      </w:hyperlink>
      <w:r w:rsidRPr="002523C6">
        <w:rPr>
          <w:rFonts w:ascii="Times New Roman" w:eastAsia="Times New Roman" w:hAnsi="Times New Roman" w:cs="Times New Roman"/>
          <w:sz w:val="24"/>
          <w:szCs w:val="24"/>
        </w:rPr>
        <w:t xml:space="preserve"> sửa đổi, bổ sung thêm đối tượng người </w:t>
      </w:r>
      <w:proofErr w:type="gramStart"/>
      <w:r w:rsidRPr="002523C6">
        <w:rPr>
          <w:rFonts w:ascii="Times New Roman" w:eastAsia="Times New Roman" w:hAnsi="Times New Roman" w:cs="Times New Roman"/>
          <w:sz w:val="24"/>
          <w:szCs w:val="24"/>
        </w:rPr>
        <w:t>lao</w:t>
      </w:r>
      <w:proofErr w:type="gramEnd"/>
      <w:r w:rsidRPr="002523C6">
        <w:rPr>
          <w:rFonts w:ascii="Times New Roman" w:eastAsia="Times New Roman" w:hAnsi="Times New Roman" w:cs="Times New Roman"/>
          <w:sz w:val="24"/>
          <w:szCs w:val="24"/>
        </w:rPr>
        <w:t xml:space="preserve"> động được phép tham gia BHXH tự nguyện, bao gồm:</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Công dân Việt Nam từ đủ 15 tuổi trở lên không thuộc đối tượng tham gia bảo hiểm xã hội bắt buộc và không phải là người đang hưởng lương hưu, trợ cấp BHXH, trợ cấp hằng tháng;</w:t>
      </w:r>
    </w:p>
    <w:p w:rsid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Cán bộ, công chức, viên chức,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đang tạm hoãn thực hiện hợp đồng lao động, hợp đồng làm việc, trừ trường hợp hai bên có thỏa thuận về việc đóng BHXH bắt buộc trong thời gian này.</w:t>
      </w:r>
    </w:p>
    <w:p w:rsidR="00CC0B02" w:rsidRPr="002523C6" w:rsidRDefault="00CC0B02" w:rsidP="002523C6">
      <w:pPr>
        <w:spacing w:after="0" w:line="380" w:lineRule="exact"/>
        <w:jc w:val="both"/>
        <w:rPr>
          <w:rFonts w:ascii="Times New Roman" w:eastAsia="Times New Roman" w:hAnsi="Times New Roman" w:cs="Times New Roman"/>
          <w:sz w:val="24"/>
          <w:szCs w:val="24"/>
        </w:rPr>
      </w:pP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lastRenderedPageBreak/>
        <w:t>(2) Bổ sung trợ cấp hưu trí xã hội</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Bổ sung Chương III về Trợ cấp hưu trí xã hội để hình thành hệ thống BHXH đa tầng, bao gồm: trợ cấp hưu trí xã hội, BHXH bắt buộc, BHXH tự nguyện và bảo hiểm hưu trí bổ sung.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tại Điều 21 </w:t>
      </w:r>
      <w:hyperlink r:id="rId9"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công dân thuộc 2 trường hợp sau được hưởng trợ cấp hưu trí xã hội:</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Công dân Việt Nam từ đủ 75 tuổi trở lên:</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Đang không hưởng lương hưu hoặc không nhận trợ cấp BHXH hàng tháng;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Có văn bản đề nghị hưởng trợ cấp hưu trí xã hội.</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Công dân Việt Nam từ đủ 70 tuổi đến dưới 75 tuổi thuộc hộ cận nghèo, hộ nghèo:</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Đang không hưởng lương hưu hoặc không nhận trợ cấp BHXH hàng tháng;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Có văn bản đề nghị hưởng trợ cấp hưu trí xã hội.</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(3) Giảm số năm đóng BHXH tối thiểu được hưởng lương hưu</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Theo quy định tại Điều 64 </w:t>
      </w:r>
      <w:hyperlink r:id="rId10"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người lao động khi đủ tuổi nghỉ hưu mà có thời gian đóng BHXH từ đủ 15 năm trở lên được hưởng lương hưu hằng tháng tùy từng trường hợp cụ thể.</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2523C6">
        <w:rPr>
          <w:rFonts w:ascii="Times New Roman" w:eastAsia="Times New Roman" w:hAnsi="Times New Roman" w:cs="Times New Roman"/>
          <w:b/>
          <w:bCs/>
          <w:sz w:val="24"/>
          <w:szCs w:val="24"/>
        </w:rPr>
        <w:t xml:space="preserve"> Bổ sung quy định chế độ đối với người </w:t>
      </w:r>
      <w:proofErr w:type="gramStart"/>
      <w:r w:rsidRPr="002523C6">
        <w:rPr>
          <w:rFonts w:ascii="Times New Roman" w:eastAsia="Times New Roman" w:hAnsi="Times New Roman" w:cs="Times New Roman"/>
          <w:b/>
          <w:bCs/>
          <w:sz w:val="24"/>
          <w:szCs w:val="24"/>
        </w:rPr>
        <w:t>lao</w:t>
      </w:r>
      <w:proofErr w:type="gramEnd"/>
      <w:r w:rsidRPr="002523C6">
        <w:rPr>
          <w:rFonts w:ascii="Times New Roman" w:eastAsia="Times New Roman" w:hAnsi="Times New Roman" w:cs="Times New Roman"/>
          <w:b/>
          <w:bCs/>
          <w:sz w:val="24"/>
          <w:szCs w:val="24"/>
        </w:rPr>
        <w:t xml:space="preserve"> động không đủ điều kiện hưởng lương hưu và chưa đủ tuổi hưởng trợ cấp hưu trí xã hội</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theo Điều 23 </w:t>
      </w:r>
      <w:hyperlink r:id="rId11"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xml:space="preserve">, công dân Việt Nam đủ tuổi nghỉ hưu có thời gian đóng BHXH nhưng không đủ điều kiện hưởng lương hưu (chưa đủ 15 năm đóng) và chưa đủ điều kiện hưởng trợ cấp hưu trí xã hội, nếu không hưởng BHXH một lần hoặc không bảo lưu mà có yêu cầu thì được hưởng trợ cấp hằng </w:t>
      </w:r>
      <w:proofErr w:type="gramStart"/>
      <w:r w:rsidRPr="002523C6">
        <w:rPr>
          <w:rFonts w:ascii="Times New Roman" w:eastAsia="Times New Roman" w:hAnsi="Times New Roman" w:cs="Times New Roman"/>
          <w:sz w:val="24"/>
          <w:szCs w:val="24"/>
        </w:rPr>
        <w:t>tháng .</w:t>
      </w:r>
      <w:proofErr w:type="gramEnd"/>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Công dân Việt Nam được hưởng chế chế độ trợ cấp hàng tháng từ chính khoản đóng BHXH của mình khi có yêu cầu nếu đảm bảo các điều kiện sau:</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Đủ tuổi nghỉ hưu mà chưa đủ điều kiện hưởng lương hưu (chưa đóng BHXH đủ từ 15 năm);</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Chưa đủ điều kiện để được hưởng trợ cấp hưu trí xã hội;</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Không làm thủ tục rút BHXH 1 lần và không bảo lưu.</w:t>
      </w:r>
    </w:p>
    <w:p w:rsid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Việc xác định thời gian hưởng và mức hưởng trợ cấp hàng tháng được căn cứ </w:t>
      </w:r>
      <w:proofErr w:type="gramStart"/>
      <w:r w:rsidRPr="002523C6">
        <w:rPr>
          <w:rFonts w:ascii="Times New Roman" w:eastAsia="Times New Roman" w:hAnsi="Times New Roman" w:cs="Times New Roman"/>
          <w:sz w:val="24"/>
          <w:szCs w:val="24"/>
        </w:rPr>
        <w:t>theo</w:t>
      </w:r>
      <w:proofErr w:type="gramEnd"/>
      <w:r w:rsidRPr="002523C6">
        <w:rPr>
          <w:rFonts w:ascii="Times New Roman" w:eastAsia="Times New Roman" w:hAnsi="Times New Roman" w:cs="Times New Roman"/>
          <w:sz w:val="24"/>
          <w:szCs w:val="24"/>
        </w:rPr>
        <w:t xml:space="preserve"> thời gian đóng và căn cứ đóng BHXH của người lao động. Trong đó, mức trợ cấp hàng tháng của người </w:t>
      </w:r>
      <w:proofErr w:type="gramStart"/>
      <w:r w:rsidRPr="002523C6">
        <w:rPr>
          <w:rFonts w:ascii="Times New Roman" w:eastAsia="Times New Roman" w:hAnsi="Times New Roman" w:cs="Times New Roman"/>
          <w:sz w:val="24"/>
          <w:szCs w:val="24"/>
        </w:rPr>
        <w:t>lao</w:t>
      </w:r>
      <w:proofErr w:type="gramEnd"/>
      <w:r w:rsidRPr="002523C6">
        <w:rPr>
          <w:rFonts w:ascii="Times New Roman" w:eastAsia="Times New Roman" w:hAnsi="Times New Roman" w:cs="Times New Roman"/>
          <w:sz w:val="24"/>
          <w:szCs w:val="24"/>
        </w:rPr>
        <w:t xml:space="preserve"> động thấp nhất bằng mức trợ cấp hưu trí xã hội hàng tháng.</w:t>
      </w:r>
    </w:p>
    <w:p w:rsidR="002523C6" w:rsidRPr="002523C6" w:rsidRDefault="002523C6" w:rsidP="00CC0B02">
      <w:pPr>
        <w:rPr>
          <w:rFonts w:ascii="Times New Roman" w:eastAsia="Times New Roman" w:hAnsi="Times New Roman" w:cs="Times New Roman"/>
          <w:sz w:val="24"/>
          <w:szCs w:val="24"/>
        </w:rPr>
      </w:pPr>
      <w:bookmarkStart w:id="0" w:name="_GoBack"/>
      <w:bookmarkEnd w:id="0"/>
    </w:p>
    <w:tbl>
      <w:tblPr>
        <w:tblW w:w="7295" w:type="dxa"/>
        <w:tblInd w:w="1674" w:type="dxa"/>
        <w:tblCellMar>
          <w:top w:w="15" w:type="dxa"/>
          <w:left w:w="15" w:type="dxa"/>
          <w:bottom w:w="15" w:type="dxa"/>
          <w:right w:w="15" w:type="dxa"/>
        </w:tblCellMar>
        <w:tblLook w:val="04A0" w:firstRow="1" w:lastRow="0" w:firstColumn="1" w:lastColumn="0" w:noHBand="0" w:noVBand="1"/>
      </w:tblPr>
      <w:tblGrid>
        <w:gridCol w:w="3324"/>
        <w:gridCol w:w="287"/>
        <w:gridCol w:w="3684"/>
      </w:tblGrid>
      <w:tr w:rsidR="002523C6" w:rsidRPr="002523C6" w:rsidTr="002523C6">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Mức trợ cấp hàng tháng thấp nhất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Mức trợ cấp hưu trí xã hội hàng tháng</w:t>
            </w:r>
          </w:p>
        </w:tc>
      </w:tr>
    </w:tbl>
    <w:p w:rsidR="002523C6" w:rsidRPr="002523C6" w:rsidRDefault="002523C6" w:rsidP="002523C6">
      <w:pPr>
        <w:spacing w:after="0" w:line="380"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2523C6">
        <w:rPr>
          <w:rFonts w:ascii="Times New Roman" w:eastAsia="Times New Roman" w:hAnsi="Times New Roman" w:cs="Times New Roman"/>
          <w:b/>
          <w:bCs/>
          <w:sz w:val="24"/>
          <w:szCs w:val="24"/>
        </w:rPr>
        <w:t xml:space="preserve">) Lao động nữ điều trị vô sinh được hưởng chế độ </w:t>
      </w:r>
      <w:proofErr w:type="gramStart"/>
      <w:r w:rsidRPr="002523C6">
        <w:rPr>
          <w:rFonts w:ascii="Times New Roman" w:eastAsia="Times New Roman" w:hAnsi="Times New Roman" w:cs="Times New Roman"/>
          <w:b/>
          <w:bCs/>
          <w:sz w:val="24"/>
          <w:szCs w:val="24"/>
        </w:rPr>
        <w:t>thai</w:t>
      </w:r>
      <w:proofErr w:type="gramEnd"/>
      <w:r w:rsidRPr="002523C6">
        <w:rPr>
          <w:rFonts w:ascii="Times New Roman" w:eastAsia="Times New Roman" w:hAnsi="Times New Roman" w:cs="Times New Roman"/>
          <w:b/>
          <w:bCs/>
          <w:sz w:val="24"/>
          <w:szCs w:val="24"/>
        </w:rPr>
        <w:t xml:space="preserve"> sản, tăng khoảng thời gian thực hiện quyền nghỉ thai sản cho lao động nam</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quy định tại khoản 5 Điều 50 </w:t>
      </w:r>
      <w:hyperlink r:id="rId12" w:tgtFrame="_blank" w:history="1">
        <w:r w:rsidRPr="002523C6">
          <w:rPr>
            <w:rFonts w:ascii="Times New Roman" w:eastAsia="Times New Roman" w:hAnsi="Times New Roman" w:cs="Times New Roman"/>
            <w:sz w:val="24"/>
            <w:szCs w:val="24"/>
          </w:rPr>
          <w:t>Luật Bảo hiểm xã hội 2024 </w:t>
        </w:r>
      </w:hyperlink>
      <w:r w:rsidRPr="002523C6">
        <w:rPr>
          <w:rFonts w:ascii="Times New Roman" w:eastAsia="Times New Roman" w:hAnsi="Times New Roman" w:cs="Times New Roman"/>
          <w:sz w:val="24"/>
          <w:szCs w:val="24"/>
        </w:rPr>
        <w:t>về đối tượng và điều kiện hưởng chế độ thai sản, lao động nữ sinh con được hưởng chế độ thai sản nếu đã đóng BHXH bắt buộc 06 tháng trở lên trong vòng 24 tháng liền kề trước khi sinh con đối với trường hợp phải nghỉ việc để điều trị vô sinh.</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lastRenderedPageBreak/>
        <w:t>Căn cứ quy định tại khoản 3 Điều 53 </w:t>
      </w:r>
      <w:hyperlink r:id="rId13"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xml:space="preserve">, </w:t>
      </w:r>
      <w:proofErr w:type="gramStart"/>
      <w:r w:rsidRPr="002523C6">
        <w:rPr>
          <w:rFonts w:ascii="Times New Roman" w:eastAsia="Times New Roman" w:hAnsi="Times New Roman" w:cs="Times New Roman"/>
          <w:sz w:val="24"/>
          <w:szCs w:val="24"/>
        </w:rPr>
        <w:t>lao</w:t>
      </w:r>
      <w:proofErr w:type="gramEnd"/>
      <w:r w:rsidRPr="002523C6">
        <w:rPr>
          <w:rFonts w:ascii="Times New Roman" w:eastAsia="Times New Roman" w:hAnsi="Times New Roman" w:cs="Times New Roman"/>
          <w:sz w:val="24"/>
          <w:szCs w:val="24"/>
        </w:rPr>
        <w:t xml:space="preserve"> động nam có vợ sinh con khi nghỉ thai sản (từ 5 đến trên 14 ngày) thì được nghỉ nhiều lần trong khoảng thời gian 60 ngày đầu tiên kể từ ngày vợ sinh con.</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Cụ thể:</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+ 5 ngày làm việc: Trường hợp thông thường;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+ 7 ngày làm việc: Trường hợp vợ sinh con dưới 32 tuần tuổi hoặc sinh mổ;</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+ 10 ngày làm việc: Trường hợp vợ sinh 2 con;</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+ 14 ngày làm việc: Trường hợp vợ sinh 2 con phải phẫu thuật;</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Nghỉ thêm 3 ngày làm việc cho mỗi con sinh thêm:</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Trường hợp vợ sinh mổ từ 3 con trở lên;</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Trường hợp vợ sinh thường từ 3 con trở lên.</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2523C6">
        <w:rPr>
          <w:rFonts w:ascii="Times New Roman" w:eastAsia="Times New Roman" w:hAnsi="Times New Roman" w:cs="Times New Roman"/>
          <w:b/>
          <w:bCs/>
          <w:sz w:val="24"/>
          <w:szCs w:val="24"/>
        </w:rPr>
        <w:t xml:space="preserve">) Người </w:t>
      </w:r>
      <w:proofErr w:type="gramStart"/>
      <w:r w:rsidRPr="002523C6">
        <w:rPr>
          <w:rFonts w:ascii="Times New Roman" w:eastAsia="Times New Roman" w:hAnsi="Times New Roman" w:cs="Times New Roman"/>
          <w:b/>
          <w:bCs/>
          <w:sz w:val="24"/>
          <w:szCs w:val="24"/>
        </w:rPr>
        <w:t>lao</w:t>
      </w:r>
      <w:proofErr w:type="gramEnd"/>
      <w:r w:rsidRPr="002523C6">
        <w:rPr>
          <w:rFonts w:ascii="Times New Roman" w:eastAsia="Times New Roman" w:hAnsi="Times New Roman" w:cs="Times New Roman"/>
          <w:b/>
          <w:bCs/>
          <w:sz w:val="24"/>
          <w:szCs w:val="24"/>
        </w:rPr>
        <w:t xml:space="preserve"> động không chuyên trách ở xã, phường thị trấn được hưởng chế độ thai sản, ốm đau</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Điều 42, Điều 50 </w:t>
      </w:r>
      <w:hyperlink r:id="rId14"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về người lao động không chuyên trách ở xã phường thị trấn sẽ được hưởng chế độ ốm đau, thai sản khác với trước đây người lao động không chuyên trách ở xã, phường, thị trấn trước đây chỉ được hưởng chế độ hưu trí và tử tuất.</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2523C6">
        <w:rPr>
          <w:rFonts w:ascii="Times New Roman" w:eastAsia="Times New Roman" w:hAnsi="Times New Roman" w:cs="Times New Roman"/>
          <w:b/>
          <w:bCs/>
          <w:sz w:val="24"/>
          <w:szCs w:val="24"/>
        </w:rPr>
        <w:t>) Bổ sung quy định về chậm đóng, trốn đóng và xử lý tình trạng chậm đóng, trốn đóng BHXH</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Căn cứ Điều 38, Điều 39, Điều 40, Điều 41 </w:t>
      </w:r>
      <w:hyperlink r:id="rId15" w:tgtFrame="_blank" w:history="1">
        <w:r w:rsidRPr="002523C6">
          <w:rPr>
            <w:rFonts w:ascii="Times New Roman" w:eastAsia="Times New Roman" w:hAnsi="Times New Roman" w:cs="Times New Roman"/>
            <w:sz w:val="24"/>
            <w:szCs w:val="24"/>
          </w:rPr>
          <w:t>Luật Bảo hiểm xã hội 2024</w:t>
        </w:r>
      </w:hyperlink>
      <w:r w:rsidRPr="002523C6">
        <w:rPr>
          <w:rFonts w:ascii="Times New Roman" w:eastAsia="Times New Roman" w:hAnsi="Times New Roman" w:cs="Times New Roman"/>
          <w:sz w:val="24"/>
          <w:szCs w:val="24"/>
        </w:rPr>
        <w:t> đã quy định các hành vi trốn đóng, chậm đóng BHXH, bảo hiểm thất nghiệp và các biện pháp xử lý, cụ thể:</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 Quy định cụ thể biện pháp xử lý đối với hành </w:t>
      </w:r>
      <w:proofErr w:type="gramStart"/>
      <w:r w:rsidRPr="002523C6">
        <w:rPr>
          <w:rFonts w:ascii="Times New Roman" w:eastAsia="Times New Roman" w:hAnsi="Times New Roman" w:cs="Times New Roman"/>
          <w:sz w:val="24"/>
          <w:szCs w:val="24"/>
        </w:rPr>
        <w:t>vi</w:t>
      </w:r>
      <w:proofErr w:type="gramEnd"/>
      <w:r w:rsidRPr="002523C6">
        <w:rPr>
          <w:rFonts w:ascii="Times New Roman" w:eastAsia="Times New Roman" w:hAnsi="Times New Roman" w:cs="Times New Roman"/>
          <w:sz w:val="24"/>
          <w:szCs w:val="24"/>
        </w:rPr>
        <w:t xml:space="preserve"> chậm đóng BHXH và trốn đóng BHXH, bảo hiểm thất nghiệp:</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Bắt buộc đóng đủ số tiền chậm đóng, trốn đóng;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Nộp số tiền bằng 0</w:t>
      </w:r>
      <w:proofErr w:type="gramStart"/>
      <w:r w:rsidRPr="002523C6">
        <w:rPr>
          <w:rFonts w:ascii="Times New Roman" w:eastAsia="Times New Roman" w:hAnsi="Times New Roman" w:cs="Times New Roman"/>
          <w:sz w:val="24"/>
          <w:szCs w:val="24"/>
        </w:rPr>
        <w:t>,03</w:t>
      </w:r>
      <w:proofErr w:type="gramEnd"/>
      <w:r w:rsidRPr="002523C6">
        <w:rPr>
          <w:rFonts w:ascii="Times New Roman" w:eastAsia="Times New Roman" w:hAnsi="Times New Roman" w:cs="Times New Roman"/>
          <w:sz w:val="24"/>
          <w:szCs w:val="24"/>
        </w:rPr>
        <w:t>%/ngày tính trên số tiền BHXH, bảo hiểm thất nghiệp chậm đóng, trốn đóng và số ngày chậm đóng, trốn đóng;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 Xử phạt </w:t>
      </w:r>
      <w:proofErr w:type="gramStart"/>
      <w:r w:rsidRPr="002523C6">
        <w:rPr>
          <w:rFonts w:ascii="Times New Roman" w:eastAsia="Times New Roman" w:hAnsi="Times New Roman" w:cs="Times New Roman"/>
          <w:sz w:val="24"/>
          <w:szCs w:val="24"/>
        </w:rPr>
        <w:t>vi</w:t>
      </w:r>
      <w:proofErr w:type="gramEnd"/>
      <w:r w:rsidRPr="002523C6">
        <w:rPr>
          <w:rFonts w:ascii="Times New Roman" w:eastAsia="Times New Roman" w:hAnsi="Times New Roman" w:cs="Times New Roman"/>
          <w:sz w:val="24"/>
          <w:szCs w:val="24"/>
        </w:rPr>
        <w:t xml:space="preserve"> phạm hành chính theo quy định của pháp luật;</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Không xem xét trao tặng các danh hiệu thi đua, hình thức khen thưởng.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 xml:space="preserve">+ Riêng đối với hành </w:t>
      </w:r>
      <w:proofErr w:type="gramStart"/>
      <w:r w:rsidRPr="002523C6">
        <w:rPr>
          <w:rFonts w:ascii="Times New Roman" w:eastAsia="Times New Roman" w:hAnsi="Times New Roman" w:cs="Times New Roman"/>
          <w:sz w:val="24"/>
          <w:szCs w:val="24"/>
        </w:rPr>
        <w:t>vi</w:t>
      </w:r>
      <w:proofErr w:type="gramEnd"/>
      <w:r w:rsidRPr="002523C6">
        <w:rPr>
          <w:rFonts w:ascii="Times New Roman" w:eastAsia="Times New Roman" w:hAnsi="Times New Roman" w:cs="Times New Roman"/>
          <w:sz w:val="24"/>
          <w:szCs w:val="24"/>
        </w:rPr>
        <w:t xml:space="preserve"> trốn đóng còn có biện pháp là truy cứu trách nhiệm hình sự theo quy định của pháp luật.</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Ngoài ra, để đảm bảo quyền lợi của người lao động, Luật Bảo hiểm xã hội 2024 đã bổ sung trách nhiệm của người sử dụng lao động phải bồi thường cho người lao động nếu không tham gia hoặc tham gia BHXH bắt buộc không đầy đủ, không kịp thời, gây thiệt hại đến quyền, lợi ích hợp pháp của người lao động (Khoản 8 Điều 13 Luật Bảo hiểm xã hội 2024 về Trách nhiệm của người sử dụng lao động)</w:t>
      </w:r>
    </w:p>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sz w:val="24"/>
          <w:szCs w:val="24"/>
        </w:rPr>
        <w:t>Công thức tính tiền phạt chậm nộp BHXH, BHTN:</w:t>
      </w:r>
    </w:p>
    <w:tbl>
      <w:tblPr>
        <w:tblW w:w="7295" w:type="dxa"/>
        <w:tblCellMar>
          <w:top w:w="15" w:type="dxa"/>
          <w:left w:w="15" w:type="dxa"/>
          <w:bottom w:w="15" w:type="dxa"/>
          <w:right w:w="15" w:type="dxa"/>
        </w:tblCellMar>
        <w:tblLook w:val="04A0" w:firstRow="1" w:lastRow="0" w:firstColumn="1" w:lastColumn="0" w:noHBand="0" w:noVBand="1"/>
      </w:tblPr>
      <w:tblGrid>
        <w:gridCol w:w="1386"/>
        <w:gridCol w:w="287"/>
        <w:gridCol w:w="810"/>
        <w:gridCol w:w="270"/>
        <w:gridCol w:w="2404"/>
        <w:gridCol w:w="270"/>
        <w:gridCol w:w="1712"/>
        <w:gridCol w:w="156"/>
      </w:tblGrid>
      <w:tr w:rsidR="002523C6" w:rsidRPr="002523C6" w:rsidTr="002523C6">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Số tiền phạt chậm nộp</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0,03%</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x</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Số tiền BHXH, BHTN chậm đóng, trốn đóng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x</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r w:rsidRPr="002523C6">
              <w:rPr>
                <w:rFonts w:ascii="Times New Roman" w:eastAsia="Times New Roman" w:hAnsi="Times New Roman" w:cs="Times New Roman"/>
                <w:b/>
                <w:bCs/>
                <w:sz w:val="24"/>
                <w:szCs w:val="24"/>
              </w:rPr>
              <w:t>Số ngày chậm đóng, trốn đóng</w:t>
            </w:r>
          </w:p>
        </w:tc>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2523C6" w:rsidRPr="002523C6" w:rsidRDefault="002523C6" w:rsidP="002523C6">
            <w:pPr>
              <w:spacing w:after="0" w:line="380" w:lineRule="exact"/>
              <w:jc w:val="both"/>
              <w:rPr>
                <w:rFonts w:ascii="Times New Roman" w:eastAsia="Times New Roman" w:hAnsi="Times New Roman" w:cs="Times New Roman"/>
                <w:sz w:val="24"/>
                <w:szCs w:val="24"/>
              </w:rPr>
            </w:pPr>
          </w:p>
        </w:tc>
      </w:tr>
    </w:tbl>
    <w:p w:rsidR="00C05A18" w:rsidRPr="002523C6" w:rsidRDefault="00C05A18" w:rsidP="002523C6">
      <w:pPr>
        <w:spacing w:after="0" w:line="380" w:lineRule="exact"/>
        <w:jc w:val="both"/>
      </w:pPr>
    </w:p>
    <w:sectPr w:rsidR="00C05A18" w:rsidRPr="002523C6" w:rsidSect="002523C6">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E2A95"/>
    <w:multiLevelType w:val="multilevel"/>
    <w:tmpl w:val="8AC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C6"/>
    <w:rsid w:val="002523C6"/>
    <w:rsid w:val="00C05A18"/>
    <w:rsid w:val="00CC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2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2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23C6"/>
    <w:rPr>
      <w:rFonts w:ascii="Times New Roman" w:eastAsia="Times New Roman" w:hAnsi="Times New Roman" w:cs="Times New Roman"/>
      <w:b/>
      <w:bCs/>
      <w:sz w:val="36"/>
      <w:szCs w:val="36"/>
    </w:rPr>
  </w:style>
  <w:style w:type="character" w:styleId="Strong">
    <w:name w:val="Strong"/>
    <w:basedOn w:val="DefaultParagraphFont"/>
    <w:uiPriority w:val="22"/>
    <w:qFormat/>
    <w:rsid w:val="002523C6"/>
    <w:rPr>
      <w:b/>
      <w:bCs/>
    </w:rPr>
  </w:style>
  <w:style w:type="character" w:styleId="Hyperlink">
    <w:name w:val="Hyperlink"/>
    <w:basedOn w:val="DefaultParagraphFont"/>
    <w:uiPriority w:val="99"/>
    <w:semiHidden/>
    <w:unhideWhenUsed/>
    <w:rsid w:val="002523C6"/>
    <w:rPr>
      <w:color w:val="0000FF"/>
      <w:u w:val="single"/>
    </w:rPr>
  </w:style>
  <w:style w:type="paragraph" w:styleId="NormalWeb">
    <w:name w:val="Normal (Web)"/>
    <w:basedOn w:val="Normal"/>
    <w:uiPriority w:val="99"/>
    <w:unhideWhenUsed/>
    <w:rsid w:val="002523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23C6"/>
    <w:rPr>
      <w:i/>
      <w:iCs/>
    </w:rPr>
  </w:style>
  <w:style w:type="paragraph" w:styleId="BalloonText">
    <w:name w:val="Balloon Text"/>
    <w:basedOn w:val="Normal"/>
    <w:link w:val="BalloonTextChar"/>
    <w:uiPriority w:val="99"/>
    <w:semiHidden/>
    <w:unhideWhenUsed/>
    <w:rsid w:val="0025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23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2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23C6"/>
    <w:rPr>
      <w:rFonts w:ascii="Times New Roman" w:eastAsia="Times New Roman" w:hAnsi="Times New Roman" w:cs="Times New Roman"/>
      <w:b/>
      <w:bCs/>
      <w:sz w:val="36"/>
      <w:szCs w:val="36"/>
    </w:rPr>
  </w:style>
  <w:style w:type="character" w:styleId="Strong">
    <w:name w:val="Strong"/>
    <w:basedOn w:val="DefaultParagraphFont"/>
    <w:uiPriority w:val="22"/>
    <w:qFormat/>
    <w:rsid w:val="002523C6"/>
    <w:rPr>
      <w:b/>
      <w:bCs/>
    </w:rPr>
  </w:style>
  <w:style w:type="character" w:styleId="Hyperlink">
    <w:name w:val="Hyperlink"/>
    <w:basedOn w:val="DefaultParagraphFont"/>
    <w:uiPriority w:val="99"/>
    <w:semiHidden/>
    <w:unhideWhenUsed/>
    <w:rsid w:val="002523C6"/>
    <w:rPr>
      <w:color w:val="0000FF"/>
      <w:u w:val="single"/>
    </w:rPr>
  </w:style>
  <w:style w:type="paragraph" w:styleId="NormalWeb">
    <w:name w:val="Normal (Web)"/>
    <w:basedOn w:val="Normal"/>
    <w:uiPriority w:val="99"/>
    <w:unhideWhenUsed/>
    <w:rsid w:val="002523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23C6"/>
    <w:rPr>
      <w:i/>
      <w:iCs/>
    </w:rPr>
  </w:style>
  <w:style w:type="paragraph" w:styleId="BalloonText">
    <w:name w:val="Balloon Text"/>
    <w:basedOn w:val="Normal"/>
    <w:link w:val="BalloonTextChar"/>
    <w:uiPriority w:val="99"/>
    <w:semiHidden/>
    <w:unhideWhenUsed/>
    <w:rsid w:val="0025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00123">
      <w:bodyDiv w:val="1"/>
      <w:marLeft w:val="0"/>
      <w:marRight w:val="0"/>
      <w:marTop w:val="0"/>
      <w:marBottom w:val="0"/>
      <w:divBdr>
        <w:top w:val="none" w:sz="0" w:space="0" w:color="auto"/>
        <w:left w:val="none" w:sz="0" w:space="0" w:color="auto"/>
        <w:bottom w:val="none" w:sz="0" w:space="0" w:color="auto"/>
        <w:right w:val="none" w:sz="0" w:space="0" w:color="auto"/>
      </w:divBdr>
      <w:divsChild>
        <w:div w:id="406614958">
          <w:marLeft w:val="0"/>
          <w:marRight w:val="0"/>
          <w:marTop w:val="0"/>
          <w:marBottom w:val="225"/>
          <w:divBdr>
            <w:top w:val="none" w:sz="0" w:space="0" w:color="auto"/>
            <w:left w:val="none" w:sz="0" w:space="0" w:color="auto"/>
            <w:bottom w:val="none" w:sz="0" w:space="0" w:color="auto"/>
            <w:right w:val="none" w:sz="0" w:space="0" w:color="auto"/>
          </w:divBdr>
          <w:divsChild>
            <w:div w:id="363674058">
              <w:marLeft w:val="0"/>
              <w:marRight w:val="0"/>
              <w:marTop w:val="0"/>
              <w:marBottom w:val="0"/>
              <w:divBdr>
                <w:top w:val="none" w:sz="0" w:space="0" w:color="auto"/>
                <w:left w:val="none" w:sz="0" w:space="0" w:color="auto"/>
                <w:bottom w:val="none" w:sz="0" w:space="0" w:color="auto"/>
                <w:right w:val="none" w:sz="0" w:space="0" w:color="auto"/>
              </w:divBdr>
              <w:divsChild>
                <w:div w:id="951861378">
                  <w:marLeft w:val="0"/>
                  <w:marRight w:val="0"/>
                  <w:marTop w:val="0"/>
                  <w:marBottom w:val="0"/>
                  <w:divBdr>
                    <w:top w:val="none" w:sz="0" w:space="0" w:color="auto"/>
                    <w:left w:val="none" w:sz="0" w:space="0" w:color="auto"/>
                    <w:bottom w:val="none" w:sz="0" w:space="0" w:color="auto"/>
                    <w:right w:val="none" w:sz="0" w:space="0" w:color="auto"/>
                  </w:divBdr>
                  <w:divsChild>
                    <w:div w:id="1681157112">
                      <w:marLeft w:val="0"/>
                      <w:marRight w:val="0"/>
                      <w:marTop w:val="0"/>
                      <w:marBottom w:val="0"/>
                      <w:divBdr>
                        <w:top w:val="none" w:sz="0" w:space="0" w:color="auto"/>
                        <w:left w:val="none" w:sz="0" w:space="0" w:color="auto"/>
                        <w:bottom w:val="none" w:sz="0" w:space="0" w:color="auto"/>
                        <w:right w:val="none" w:sz="0" w:space="0" w:color="auto"/>
                      </w:divBdr>
                    </w:div>
                  </w:divsChild>
                </w:div>
                <w:div w:id="1141653699">
                  <w:marLeft w:val="0"/>
                  <w:marRight w:val="0"/>
                  <w:marTop w:val="0"/>
                  <w:marBottom w:val="0"/>
                  <w:divBdr>
                    <w:top w:val="none" w:sz="0" w:space="0" w:color="auto"/>
                    <w:left w:val="none" w:sz="0" w:space="0" w:color="auto"/>
                    <w:bottom w:val="none" w:sz="0" w:space="0" w:color="auto"/>
                    <w:right w:val="none" w:sz="0" w:space="0" w:color="auto"/>
                  </w:divBdr>
                  <w:divsChild>
                    <w:div w:id="20773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8538">
          <w:marLeft w:val="0"/>
          <w:marRight w:val="0"/>
          <w:marTop w:val="225"/>
          <w:marBottom w:val="225"/>
          <w:divBdr>
            <w:top w:val="none" w:sz="0" w:space="0" w:color="auto"/>
            <w:left w:val="none" w:sz="0" w:space="0" w:color="auto"/>
            <w:bottom w:val="none" w:sz="0" w:space="0" w:color="auto"/>
            <w:right w:val="none" w:sz="0" w:space="0" w:color="auto"/>
          </w:divBdr>
          <w:divsChild>
            <w:div w:id="2132673457">
              <w:marLeft w:val="0"/>
              <w:marRight w:val="0"/>
              <w:marTop w:val="0"/>
              <w:marBottom w:val="0"/>
              <w:divBdr>
                <w:top w:val="none" w:sz="0" w:space="0" w:color="auto"/>
                <w:left w:val="none" w:sz="0" w:space="0" w:color="auto"/>
                <w:bottom w:val="none" w:sz="0" w:space="0" w:color="auto"/>
                <w:right w:val="none" w:sz="0" w:space="0" w:color="auto"/>
              </w:divBdr>
            </w:div>
          </w:divsChild>
        </w:div>
        <w:div w:id="1248882809">
          <w:marLeft w:val="0"/>
          <w:marRight w:val="0"/>
          <w:marTop w:val="225"/>
          <w:marBottom w:val="225"/>
          <w:divBdr>
            <w:top w:val="none" w:sz="0" w:space="0" w:color="auto"/>
            <w:left w:val="none" w:sz="0" w:space="0" w:color="auto"/>
            <w:bottom w:val="none" w:sz="0" w:space="0" w:color="auto"/>
            <w:right w:val="none" w:sz="0" w:space="0" w:color="auto"/>
          </w:divBdr>
          <w:divsChild>
            <w:div w:id="1196120539">
              <w:marLeft w:val="0"/>
              <w:marRight w:val="0"/>
              <w:marTop w:val="0"/>
              <w:marBottom w:val="0"/>
              <w:divBdr>
                <w:top w:val="none" w:sz="0" w:space="0" w:color="auto"/>
                <w:left w:val="none" w:sz="0" w:space="0" w:color="auto"/>
                <w:bottom w:val="none" w:sz="0" w:space="0" w:color="auto"/>
                <w:right w:val="none" w:sz="0" w:space="0" w:color="auto"/>
              </w:divBdr>
            </w:div>
          </w:divsChild>
        </w:div>
        <w:div w:id="1975789723">
          <w:marLeft w:val="0"/>
          <w:marRight w:val="0"/>
          <w:marTop w:val="225"/>
          <w:marBottom w:val="225"/>
          <w:divBdr>
            <w:top w:val="none" w:sz="0" w:space="0" w:color="auto"/>
            <w:left w:val="none" w:sz="0" w:space="0" w:color="auto"/>
            <w:bottom w:val="none" w:sz="0" w:space="0" w:color="auto"/>
            <w:right w:val="none" w:sz="0" w:space="0" w:color="auto"/>
          </w:divBdr>
          <w:divsChild>
            <w:div w:id="17907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24-557190.aspx?anchor=dieu_2" TargetMode="External"/><Relationship Id="rId13" Type="http://schemas.openxmlformats.org/officeDocument/2006/relationships/hyperlink" Target="https://thuvienphapluat.vn/van-ban/Bao-hiem/Luat-Bao-hiem-xa-hoi-2024-557190.aspx?anchor=dieu_53" TargetMode="External"/><Relationship Id="rId3" Type="http://schemas.microsoft.com/office/2007/relationships/stylesWithEffects" Target="stylesWithEffects.xml"/><Relationship Id="rId7" Type="http://schemas.openxmlformats.org/officeDocument/2006/relationships/hyperlink" Target="https://thuvienphapluat.vn/van-ban/Lao-dong-Tien-luong/Bo-Luat-lao-dong-2019-333670.aspx?anchor=dieu_169" TargetMode="External"/><Relationship Id="rId12" Type="http://schemas.openxmlformats.org/officeDocument/2006/relationships/hyperlink" Target="https://thuvienphapluat.vn/van-ban/Bao-hiem/Luat-Bao-hiem-xa-hoi-2024-557190.aspx?anchor=dieu_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van-ban/Bao-hiem/Luat-Bao-hiem-xa-hoi-2024-557190.aspx?anchor=dieu_2" TargetMode="External"/><Relationship Id="rId11" Type="http://schemas.openxmlformats.org/officeDocument/2006/relationships/hyperlink" Target="https://thuvienphapluat.vn/van-ban/Bao-hiem/Luat-Bao-hiem-xa-hoi-2024-557190.aspx?anchor=dieu_23" TargetMode="External"/><Relationship Id="rId5" Type="http://schemas.openxmlformats.org/officeDocument/2006/relationships/webSettings" Target="webSettings.xml"/><Relationship Id="rId15" Type="http://schemas.openxmlformats.org/officeDocument/2006/relationships/hyperlink" Target="https://thuvienphapluat.vn/van-ban/Bao-hiem/Luat-Bao-hiem-xa-hoi-2024-557190.aspx?anchor=dieu_39" TargetMode="External"/><Relationship Id="rId10" Type="http://schemas.openxmlformats.org/officeDocument/2006/relationships/hyperlink" Target="https://thuvienphapluat.vn/van-ban/Bao-hiem/Luat-Bao-hiem-xa-hoi-2024-557190.aspx?anchor=dieu_64" TargetMode="External"/><Relationship Id="rId4" Type="http://schemas.openxmlformats.org/officeDocument/2006/relationships/settings" Target="settings.xml"/><Relationship Id="rId9" Type="http://schemas.openxmlformats.org/officeDocument/2006/relationships/hyperlink" Target="https://thuvienphapluat.vn/van-ban/Bao-hiem/Luat-Bao-hiem-xa-hoi-2024-557190.aspx?anchor=dieu_21" TargetMode="External"/><Relationship Id="rId14" Type="http://schemas.openxmlformats.org/officeDocument/2006/relationships/hyperlink" Target="https://thuvienphapluat.vn/van-ban/Bao-hiem/Luat-Bao-hiem-xa-hoi-2024-557190.aspx?anchor=dieu_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2026-04-11T08:12:00Z</dcterms:created>
  <dcterms:modified xsi:type="dcterms:W3CDTF">2026-04-11T08:22:00Z</dcterms:modified>
</cp:coreProperties>
</file>