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C5D6" w14:textId="28AB2637" w:rsidR="00220A38" w:rsidRPr="0057731C" w:rsidRDefault="00220A38" w:rsidP="0057731C">
      <w:pPr>
        <w:shd w:val="clear" w:color="auto" w:fill="FFFFFF"/>
        <w:spacing w:after="0" w:line="240" w:lineRule="auto"/>
        <w:jc w:val="center"/>
        <w:textAlignment w:val="baseline"/>
        <w:rPr>
          <w:rFonts w:ascii="Times New Roman" w:eastAsia="Times New Roman" w:hAnsi="Times New Roman" w:cs="Times New Roman"/>
          <w:b/>
          <w:bCs/>
          <w:color w:val="000000" w:themeColor="text1"/>
          <w:kern w:val="0"/>
          <w:sz w:val="26"/>
          <w:szCs w:val="26"/>
          <w:lang w:val="vi-VN"/>
          <w14:ligatures w14:val="none"/>
        </w:rPr>
      </w:pPr>
      <w:r w:rsidRPr="0057731C">
        <w:rPr>
          <w:rFonts w:ascii="Times New Roman" w:eastAsia="Times New Roman" w:hAnsi="Times New Roman" w:cs="Times New Roman"/>
          <w:b/>
          <w:bCs/>
          <w:color w:val="000000" w:themeColor="text1"/>
          <w:kern w:val="0"/>
          <w:sz w:val="26"/>
          <w:szCs w:val="26"/>
          <w:lang w:val="vi-VN"/>
          <w14:ligatures w14:val="none"/>
        </w:rPr>
        <w:t>ĐIỂM MỚI TRONG NGHỊ ĐỊNH 144 VỀ THUẾ GIÁ TRỊ GIA TĂNG</w:t>
      </w:r>
    </w:p>
    <w:p w14:paraId="3CB470C1" w14:textId="75B7D45A" w:rsidR="0057731C" w:rsidRPr="0057731C" w:rsidRDefault="00220A38" w:rsidP="0057731C">
      <w:pPr>
        <w:shd w:val="clear" w:color="auto" w:fill="FFFFFF"/>
        <w:spacing w:after="0" w:line="240" w:lineRule="auto"/>
        <w:jc w:val="center"/>
        <w:textAlignment w:val="baseline"/>
        <w:rPr>
          <w:rFonts w:ascii="Times New Roman" w:eastAsia="Times New Roman" w:hAnsi="Times New Roman" w:cs="Times New Roman"/>
          <w:b/>
          <w:bCs/>
          <w:color w:val="000000" w:themeColor="text1"/>
          <w:kern w:val="0"/>
          <w:sz w:val="26"/>
          <w:szCs w:val="26"/>
          <w:lang w:val="vi-VN"/>
          <w14:ligatures w14:val="none"/>
        </w:rPr>
      </w:pPr>
      <w:r w:rsidRPr="0057731C">
        <w:rPr>
          <w:rFonts w:ascii="Times New Roman" w:eastAsia="Times New Roman" w:hAnsi="Times New Roman" w:cs="Times New Roman"/>
          <w:b/>
          <w:bCs/>
          <w:color w:val="000000" w:themeColor="text1"/>
          <w:kern w:val="0"/>
          <w:sz w:val="26"/>
          <w:szCs w:val="26"/>
          <w:lang w:val="vi-VN"/>
          <w14:ligatures w14:val="none"/>
        </w:rPr>
        <w:t>Đinh Thị Thu Hiền</w:t>
      </w:r>
    </w:p>
    <w:p w14:paraId="71567D71" w14:textId="372ACB09" w:rsidR="0057731C" w:rsidRPr="0057731C" w:rsidRDefault="0057731C" w:rsidP="0057731C">
      <w:pPr>
        <w:spacing w:after="120" w:line="420" w:lineRule="atLeast"/>
        <w:jc w:val="both"/>
        <w:outlineLvl w:val="1"/>
        <w:rPr>
          <w:rFonts w:ascii="Times New Roman" w:eastAsia="Times New Roman" w:hAnsi="Times New Roman" w:cs="Times New Roman"/>
          <w:b/>
          <w:bCs/>
          <w:color w:val="000000" w:themeColor="text1"/>
          <w:kern w:val="0"/>
          <w:sz w:val="26"/>
          <w:szCs w:val="26"/>
          <w14:ligatures w14:val="none"/>
        </w:rPr>
      </w:pPr>
      <w:r w:rsidRPr="0057731C">
        <w:rPr>
          <w:rFonts w:ascii="Times New Roman" w:eastAsia="Times New Roman" w:hAnsi="Times New Roman" w:cs="Times New Roman"/>
          <w:b/>
          <w:bCs/>
          <w:color w:val="000000" w:themeColor="text1"/>
          <w:kern w:val="0"/>
          <w:sz w:val="26"/>
          <w:szCs w:val="26"/>
          <w14:ligatures w14:val="none"/>
        </w:rPr>
        <w:t xml:space="preserve">Nghị định số 144/2026/NĐ-CP sửa đổi, bổ sung một số điều của </w:t>
      </w:r>
      <w:r w:rsidRPr="0057731C">
        <w:rPr>
          <w:rFonts w:ascii="Times New Roman" w:eastAsia="Times New Roman" w:hAnsi="Times New Roman" w:cs="Times New Roman"/>
          <w:b/>
          <w:bCs/>
          <w:color w:val="000000" w:themeColor="text1"/>
          <w:kern w:val="0"/>
          <w:sz w:val="26"/>
          <w:szCs w:val="26"/>
          <w14:ligatures w14:val="none"/>
        </w:rPr>
        <w:t xml:space="preserve">Nghị định số 181/2025/NĐ-CP quy định chi tiết thi hành một số điều của Luật Thuế </w:t>
      </w:r>
      <w:r w:rsidRPr="0057731C">
        <w:rPr>
          <w:rFonts w:ascii="Times New Roman" w:eastAsia="Times New Roman" w:hAnsi="Times New Roman" w:cs="Times New Roman"/>
          <w:b/>
          <w:bCs/>
          <w:color w:val="000000" w:themeColor="text1"/>
          <w:kern w:val="0"/>
          <w:sz w:val="26"/>
          <w:szCs w:val="26"/>
          <w14:ligatures w14:val="none"/>
        </w:rPr>
        <w:t>giá trị gia tăng đã được sửa đổi, bổ sung một số điều bởi Nghị định số 359/2025/NĐ-CP. Nghị định số 144/2026/NĐ-CP có hiệu lực từ ngày 20/6/2026.</w:t>
      </w:r>
    </w:p>
    <w:p w14:paraId="1E175662" w14:textId="77777777" w:rsidR="0057731C" w:rsidRPr="0057731C" w:rsidRDefault="0057731C" w:rsidP="0057731C">
      <w:pPr>
        <w:spacing w:before="120" w:after="120" w:line="390" w:lineRule="atLeast"/>
        <w:jc w:val="both"/>
        <w:outlineLvl w:val="1"/>
        <w:rPr>
          <w:rFonts w:ascii="Times New Roman" w:eastAsia="Times New Roman" w:hAnsi="Times New Roman" w:cs="Times New Roman"/>
          <w:b/>
          <w:bCs/>
          <w:color w:val="000000" w:themeColor="text1"/>
          <w:kern w:val="0"/>
          <w:sz w:val="26"/>
          <w:szCs w:val="26"/>
          <w14:ligatures w14:val="none"/>
        </w:rPr>
      </w:pPr>
      <w:r w:rsidRPr="0057731C">
        <w:rPr>
          <w:rFonts w:ascii="Times New Roman" w:eastAsia="Times New Roman" w:hAnsi="Times New Roman" w:cs="Times New Roman"/>
          <w:b/>
          <w:bCs/>
          <w:color w:val="000000" w:themeColor="text1"/>
          <w:kern w:val="0"/>
          <w:sz w:val="26"/>
          <w:szCs w:val="26"/>
          <w14:ligatures w14:val="none"/>
        </w:rPr>
        <w:t>Bổ sung đối tượng không chịu thuế giá trị gia tăng</w:t>
      </w:r>
    </w:p>
    <w:p w14:paraId="0059AA86"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Chính phủ ban hành Nghị định số 144/2026/NĐ-CP sửa đổi, bổ sung một số điều của Nghị định số 181/2025/NĐ-CP ngày 1/7/2025 quy định chi tiết thi hành một số điều của Luật Thuế giá trị gia tăng đã được sửa đổi, bổ sung một số điều bởi Nghị định số 359/2025/NĐ-CP ngày 31/12/2025.</w:t>
      </w:r>
    </w:p>
    <w:p w14:paraId="21EF123F" w14:textId="77777777" w:rsidR="0057731C" w:rsidRPr="0057731C" w:rsidRDefault="0057731C" w:rsidP="0057731C">
      <w:pPr>
        <w:spacing w:after="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Cụ thể, </w:t>
      </w:r>
      <w:r w:rsidRPr="0057731C">
        <w:rPr>
          <w:rFonts w:ascii="Times New Roman" w:eastAsia="Times New Roman" w:hAnsi="Times New Roman" w:cs="Times New Roman"/>
          <w:b/>
          <w:bCs/>
          <w:i/>
          <w:iCs/>
          <w:color w:val="000000" w:themeColor="text1"/>
          <w:kern w:val="0"/>
          <w:sz w:val="26"/>
          <w:szCs w:val="26"/>
          <w14:ligatures w14:val="none"/>
        </w:rPr>
        <w:t>Nghị định số 144/2026/NĐ-CP bổ sung khoản 3a vào sau khoản 3 Điều 4 Nghị định số </w:t>
      </w:r>
      <w:hyperlink r:id="rId5" w:tgtFrame="_blank" w:tooltip="181/2025/NĐ-CP" w:history="1">
        <w:r w:rsidRPr="0057731C">
          <w:rPr>
            <w:rFonts w:ascii="Times New Roman" w:eastAsia="Times New Roman" w:hAnsi="Times New Roman" w:cs="Times New Roman"/>
            <w:b/>
            <w:bCs/>
            <w:i/>
            <w:iCs/>
            <w:color w:val="000000" w:themeColor="text1"/>
            <w:kern w:val="0"/>
            <w:sz w:val="26"/>
            <w:szCs w:val="26"/>
            <w14:ligatures w14:val="none"/>
          </w:rPr>
          <w:t>181/2025/NĐ-CP </w:t>
        </w:r>
      </w:hyperlink>
      <w:r w:rsidRPr="0057731C">
        <w:rPr>
          <w:rFonts w:ascii="Times New Roman" w:eastAsia="Times New Roman" w:hAnsi="Times New Roman" w:cs="Times New Roman"/>
          <w:b/>
          <w:bCs/>
          <w:i/>
          <w:iCs/>
          <w:color w:val="000000" w:themeColor="text1"/>
          <w:kern w:val="0"/>
          <w:sz w:val="26"/>
          <w:szCs w:val="26"/>
          <w14:ligatures w14:val="none"/>
        </w:rPr>
        <w:t>quy định về đối tượng không chịu thuế giá trị gia tăng:</w:t>
      </w:r>
      <w:r w:rsidRPr="0057731C">
        <w:rPr>
          <w:rFonts w:ascii="Times New Roman" w:eastAsia="Times New Roman" w:hAnsi="Times New Roman" w:cs="Times New Roman"/>
          <w:color w:val="000000" w:themeColor="text1"/>
          <w:kern w:val="0"/>
          <w:sz w:val="26"/>
          <w:szCs w:val="26"/>
          <w14:ligatures w14:val="none"/>
        </w:rPr>
        <w:t> “3a.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 theo quy định của pháp luật về kinh doanh bảo hiểm; 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p>
    <w:p w14:paraId="6B9BC224"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Về các dịch vụ tài chính, ngân hàng, kinh doanh chứng khoán, thương mại thuộc đối tượng không chịu thuế giá trị gia tăng, Nghị định số 144/2026/NĐ-CP sửa đổi, bổ sung điểm đ khoản 4 Điều 4 Nghị định số 181/2025/NĐ-CP như sau: “đ) Bán nợ bao gồm bán khoản phải trả và khoản phải thu, bán chứng chỉ tiền gửi".</w:t>
      </w:r>
    </w:p>
    <w:p w14:paraId="5173D550" w14:textId="77777777" w:rsidR="0057731C" w:rsidRPr="0057731C" w:rsidRDefault="0057731C" w:rsidP="0057731C">
      <w:pPr>
        <w:spacing w:before="120" w:after="120" w:line="390" w:lineRule="atLeast"/>
        <w:jc w:val="both"/>
        <w:outlineLvl w:val="3"/>
        <w:rPr>
          <w:rFonts w:ascii="Times New Roman" w:eastAsia="Times New Roman" w:hAnsi="Times New Roman" w:cs="Times New Roman"/>
          <w:b/>
          <w:bCs/>
          <w:color w:val="000000" w:themeColor="text1"/>
          <w:kern w:val="0"/>
          <w:sz w:val="26"/>
          <w:szCs w:val="26"/>
          <w14:ligatures w14:val="none"/>
        </w:rPr>
      </w:pPr>
      <w:r w:rsidRPr="0057731C">
        <w:rPr>
          <w:rFonts w:ascii="Times New Roman" w:eastAsia="Times New Roman" w:hAnsi="Times New Roman" w:cs="Times New Roman"/>
          <w:b/>
          <w:bCs/>
          <w:color w:val="000000" w:themeColor="text1"/>
          <w:kern w:val="0"/>
          <w:sz w:val="26"/>
          <w:szCs w:val="26"/>
          <w14:ligatures w14:val="none"/>
        </w:rPr>
        <w:t>Nghị định số 144/2026/NĐ-CP cũng sửa đổi, bổ sung khoản 14 Điều 4 đối tượng không chịu thuế giá trị gia tăng như sau:</w:t>
      </w:r>
    </w:p>
    <w:p w14:paraId="63CB5007"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 xml:space="preserve">“14. Sản phẩm xuất khẩu là tài nguyên, khoáng sản khai thác chưa chế biến thành sản phẩm khác và sản phẩm xuất khẩu là tài nguyên, khoáng sản khai thác đã chế biến thành sản phẩm khác theo định hướng của nhà nước về không khuyến khích xuất khẩu, hạn chế xuất </w:t>
      </w:r>
      <w:r w:rsidRPr="0057731C">
        <w:rPr>
          <w:rFonts w:ascii="Times New Roman" w:eastAsia="Times New Roman" w:hAnsi="Times New Roman" w:cs="Times New Roman"/>
          <w:color w:val="000000" w:themeColor="text1"/>
          <w:kern w:val="0"/>
          <w:sz w:val="26"/>
          <w:szCs w:val="26"/>
          <w14:ligatures w14:val="none"/>
        </w:rPr>
        <w:lastRenderedPageBreak/>
        <w:t>khẩu các tài nguyên, khoáng sản thô được quy định tại Danh mục (Phụ lục I, Phụ lục II) ban hành kèm theo Nghị định này.</w:t>
      </w:r>
    </w:p>
    <w:p w14:paraId="09CA00F3"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Trong trường hợp cần thiết phải điều chỉnh sản phẩm xuất khẩu tại Danh mục (Phụ lục I, Phụ lục II) để phù hợp với bối cảnh kinh tế - xã hội, định hướng của nhà nước về không khuyến khích xuất khẩu, hạn chế xuất khẩu các tài nguyên, khoáng sản thô trong từng thời kỳ, Bộ Công Thương xác định và đề xuất điều chỉnh Danh mục gửi Bộ Tài chính chủ trì, nghiên cứu, phối hợp với các bộ, cơ quan liên quan báo cáo Chính phủ xem xét, quyết định.”.</w:t>
      </w:r>
    </w:p>
    <w:p w14:paraId="25932D0A" w14:textId="77777777" w:rsidR="0057731C" w:rsidRPr="0057731C" w:rsidRDefault="0057731C" w:rsidP="0057731C">
      <w:pPr>
        <w:spacing w:before="120" w:after="120" w:line="390" w:lineRule="atLeast"/>
        <w:jc w:val="both"/>
        <w:outlineLvl w:val="2"/>
        <w:rPr>
          <w:rFonts w:ascii="Times New Roman" w:eastAsia="Times New Roman" w:hAnsi="Times New Roman" w:cs="Times New Roman"/>
          <w:b/>
          <w:bCs/>
          <w:color w:val="000000" w:themeColor="text1"/>
          <w:kern w:val="0"/>
          <w:sz w:val="26"/>
          <w:szCs w:val="26"/>
          <w14:ligatures w14:val="none"/>
        </w:rPr>
      </w:pPr>
      <w:r w:rsidRPr="0057731C">
        <w:rPr>
          <w:rFonts w:ascii="Times New Roman" w:eastAsia="Times New Roman" w:hAnsi="Times New Roman" w:cs="Times New Roman"/>
          <w:b/>
          <w:bCs/>
          <w:color w:val="000000" w:themeColor="text1"/>
          <w:kern w:val="0"/>
          <w:sz w:val="26"/>
          <w:szCs w:val="26"/>
          <w14:ligatures w14:val="none"/>
        </w:rPr>
        <w:t>Sửa đổi quy định về khấu trừ thuế giá trị gia tăng</w:t>
      </w:r>
    </w:p>
    <w:p w14:paraId="1A33AC68"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Nghị định số 144/2026/NĐ-CP cũng sửa đổi điểm a và bổ sung điểm c của khoản 2 Điều 23 quy định về khấu trừ thuế giá trị gia tăng như sau:</w:t>
      </w:r>
    </w:p>
    <w:p w14:paraId="4B69C81B"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2. Thuế giá trị gia tăng đầu vào của hàng hóa (bao gồm cả tài sản cố định),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w:t>
      </w:r>
    </w:p>
    <w:p w14:paraId="342E81BC"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ra trong kỳ tính thuế. Trong đó:</w:t>
      </w:r>
    </w:p>
    <w:p w14:paraId="7733DF89"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a) Tổng doanh thu của hàng hóa, dịch vụ bán ra bao gồm doanh thu của hàng hóa, dịch vụ chịu thuế giá trị gia tăng; doanh thu của hàng hóa, dịch vụ không chịu thuế giá trị gia tăng; giá trị gia tăng của hoạt động mua, bán, chế tác vàng, bạc, đá quý (trừ trường hợp giá trị gia tăng âm (-)) và doanh thu của hàng hóa, dịch vụ quy định tại khoản 2 Điều 40 Nghị định này (nếu có).</w:t>
      </w:r>
    </w:p>
    <w:p w14:paraId="1C138D99"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Riêng doanh thu của tổ chức tín dụng, chi nhánh ngân hàng nước ngoài được xác định theo quy định của pháp luật về các tổ chức tín dụng; doanh thu của hoạt động về chứng khoán và thị trường chứng khoán được xác định theo quy định của pháp luật về chứng khoán; doanh thu của hoạt động kinh doanh bảo hiểm được xác định theo quy định của pháp luật về kinh doanh bảo hiểm”.</w:t>
      </w:r>
    </w:p>
    <w:p w14:paraId="352BDF9A"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lastRenderedPageBreak/>
        <w:t>“c) Doanh thu của hàng hóa, dịch vụ chịu thuế giá trị gia tăng quy định tại khoản này bao gồm cả doanh thu của hàng hóa không phải kê khai, tính nộp thuế giá trị gia tăng (nếu có) quy định tại khoản 1 Điều 5 Luật Thuế giá trị gia tăng số 48/2024/QH15 đã được sửa đổi, bổ sung bởi Luật số 149/2025/QH15.".</w:t>
      </w:r>
    </w:p>
    <w:p w14:paraId="6F2DF98C" w14:textId="77777777" w:rsidR="0057731C" w:rsidRPr="0057731C" w:rsidRDefault="0057731C" w:rsidP="0057731C">
      <w:pPr>
        <w:spacing w:after="0" w:line="390" w:lineRule="atLeast"/>
        <w:jc w:val="both"/>
        <w:outlineLvl w:val="2"/>
        <w:rPr>
          <w:rFonts w:ascii="Times New Roman" w:eastAsia="Times New Roman" w:hAnsi="Times New Roman" w:cs="Times New Roman"/>
          <w:b/>
          <w:bCs/>
          <w:color w:val="000000" w:themeColor="text1"/>
          <w:kern w:val="0"/>
          <w:sz w:val="26"/>
          <w:szCs w:val="26"/>
          <w14:ligatures w14:val="none"/>
        </w:rPr>
      </w:pPr>
      <w:r w:rsidRPr="0057731C">
        <w:rPr>
          <w:rFonts w:ascii="Times New Roman" w:eastAsia="Times New Roman" w:hAnsi="Times New Roman" w:cs="Times New Roman"/>
          <w:b/>
          <w:bCs/>
          <w:color w:val="000000" w:themeColor="text1"/>
          <w:kern w:val="0"/>
          <w:sz w:val="26"/>
          <w:szCs w:val="26"/>
          <w14:ligatures w14:val="none"/>
        </w:rPr>
        <w:t>Sửa đổi quy định về chứng từ thanh toán không dùng tiền mặt trong một số trường hợp đặc biệt</w:t>
      </w:r>
    </w:p>
    <w:p w14:paraId="51CB718F" w14:textId="77777777" w:rsidR="0057731C" w:rsidRPr="0057731C" w:rsidRDefault="0057731C" w:rsidP="0057731C">
      <w:pPr>
        <w:spacing w:after="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Về điều kiện khấu trừ thuế giá trị gia tăng đầu vào, Nghị định số 144/2026/NĐ-CP cũng sửa đổi, bổ sung điểm g khoản 2 Điều 26 quy định về chứng từ thanh toán không dùng tiền mặt trong một số trường hợp đặc biệt như sau:</w:t>
      </w:r>
    </w:p>
    <w:p w14:paraId="04D064FA"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“g) Đối với hàng hóa, dịch vụ mua trả chậm, trả góp có giá trị hàng hóa, dịch vụ mua từ 05 triệu đồng trở lên, cơ sở kinh doanh căn cứ vào hợp đồng mua hàng hóa, dịch vụ bằng văn bản, hóa đơn giá trị gia tăng và chứng từ thanh toán không dùng tiền mặt của hàng hóa, dịch vụ mua trả chậm, trả góp để khấu trừ thuế giá trị gia tăng đầu vào. </w:t>
      </w:r>
    </w:p>
    <w:p w14:paraId="49BE7F1F"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Trường hợp chưa có chứng từ thanh toán không dùng tiền mặt do chưa đến thời điểm thanh toán theo hợp đồng, phụ lục hợp đồng thì cơ sở kinh doanh vẫn được khấu trừ thuế giá trị gia tăng đầu vào. </w:t>
      </w:r>
    </w:p>
    <w:p w14:paraId="2C1F99DC"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Đến thời điểm thanh toán theo hợp đồng, phụ lục hợp đồng, cơ sở kinh doanh không có chứng từ thanh toán không dùng tiền mặt thì cơ sở kinh doanh phải kê khai, điều chỉnh giảm số thuế giá trị gia tăng đầu vào được khấu trừ đối với phần giá trị hàng hóa, dịch vụ không có chứng từ thanh toán không dùng tiền mặt vào kỳ tính thuế phát sinh nghĩa vụ thanh toán theo hợp đồng, phụ lục hợp đồng. </w:t>
      </w:r>
    </w:p>
    <w:p w14:paraId="535E5F58"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Trường hợp sau khi điều chỉnh, cơ sở kinh doanh có chứng từ thanh toán không dùng tiền mặt thì cơ sở kinh doanh được kê khai, khấu trừ số thuế giá trị gia tăng đầu vào đối với phần giá trị hàng hóa, dịch vụ có chứng từ thanh toán không dùng tiền mặt vào kỳ tính thuế có chứng từ thanh toán không dùng tiền mặt.”.</w:t>
      </w:r>
    </w:p>
    <w:p w14:paraId="667C8550" w14:textId="77777777" w:rsidR="0057731C" w:rsidRPr="0057731C" w:rsidRDefault="0057731C" w:rsidP="0057731C">
      <w:pPr>
        <w:spacing w:before="120" w:after="120" w:line="390" w:lineRule="atLeast"/>
        <w:jc w:val="both"/>
        <w:rPr>
          <w:rFonts w:ascii="Times New Roman" w:eastAsia="Times New Roman" w:hAnsi="Times New Roman" w:cs="Times New Roman"/>
          <w:color w:val="000000" w:themeColor="text1"/>
          <w:kern w:val="0"/>
          <w:sz w:val="26"/>
          <w:szCs w:val="26"/>
          <w14:ligatures w14:val="none"/>
        </w:rPr>
      </w:pPr>
      <w:r w:rsidRPr="0057731C">
        <w:rPr>
          <w:rFonts w:ascii="Times New Roman" w:eastAsia="Times New Roman" w:hAnsi="Times New Roman" w:cs="Times New Roman"/>
          <w:color w:val="000000" w:themeColor="text1"/>
          <w:kern w:val="0"/>
          <w:sz w:val="26"/>
          <w:szCs w:val="26"/>
          <w14:ligatures w14:val="none"/>
        </w:rPr>
        <w:t>Nghị định số 144/2026/NĐ-CP có hiệu lực từ ngày 20/6/2026.</w:t>
      </w:r>
    </w:p>
    <w:p w14:paraId="5AC62018" w14:textId="5F1600EB" w:rsidR="00A1260D" w:rsidRPr="0057731C" w:rsidRDefault="0057731C" w:rsidP="0057731C">
      <w:pPr>
        <w:shd w:val="clear" w:color="auto" w:fill="FFFFFF"/>
        <w:spacing w:after="0" w:line="240" w:lineRule="auto"/>
        <w:jc w:val="both"/>
        <w:textAlignment w:val="baseline"/>
        <w:rPr>
          <w:rFonts w:ascii="Times New Roman" w:hAnsi="Times New Roman" w:cs="Times New Roman"/>
          <w:b/>
          <w:bCs/>
          <w:color w:val="000000" w:themeColor="text1"/>
          <w:sz w:val="26"/>
          <w:szCs w:val="26"/>
          <w:lang w:val="vi-VN"/>
        </w:rPr>
      </w:pPr>
      <w:r w:rsidRPr="0057731C">
        <w:rPr>
          <w:rFonts w:ascii="Times New Roman" w:hAnsi="Times New Roman" w:cs="Times New Roman"/>
          <w:b/>
          <w:bCs/>
          <w:color w:val="000000" w:themeColor="text1"/>
          <w:sz w:val="26"/>
          <w:szCs w:val="26"/>
        </w:rPr>
        <w:t>Tài</w:t>
      </w:r>
      <w:r w:rsidRPr="0057731C">
        <w:rPr>
          <w:rFonts w:ascii="Times New Roman" w:hAnsi="Times New Roman" w:cs="Times New Roman"/>
          <w:b/>
          <w:bCs/>
          <w:color w:val="000000" w:themeColor="text1"/>
          <w:sz w:val="26"/>
          <w:szCs w:val="26"/>
          <w:lang w:val="vi-VN"/>
        </w:rPr>
        <w:t xml:space="preserve"> liệu tham khảo</w:t>
      </w:r>
    </w:p>
    <w:p w14:paraId="08D202B1" w14:textId="4E991B05" w:rsidR="0057731C" w:rsidRDefault="0057731C" w:rsidP="0057731C">
      <w:pPr>
        <w:shd w:val="clear" w:color="auto" w:fill="FFFFFF"/>
        <w:spacing w:after="0" w:line="240" w:lineRule="auto"/>
        <w:jc w:val="both"/>
        <w:textAlignment w:val="baseline"/>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1. </w:t>
      </w:r>
      <w:hyperlink r:id="rId6" w:history="1">
        <w:r w:rsidRPr="00A00A0B">
          <w:rPr>
            <w:rStyle w:val="Hyperlink"/>
            <w:rFonts w:ascii="Times New Roman" w:hAnsi="Times New Roman" w:cs="Times New Roman"/>
            <w:sz w:val="26"/>
            <w:szCs w:val="26"/>
            <w:lang w:val="vi-VN"/>
          </w:rPr>
          <w:t>https://xaydungchinhsach.chinhphu.vn/nhung-diem-moi-cua-nghi-dinh-359-2025-nd-cp-ve-thue-gia-tri-gia-tang-119260110093134354.htm</w:t>
        </w:r>
      </w:hyperlink>
    </w:p>
    <w:p w14:paraId="65A90BD8" w14:textId="3D5D2437" w:rsidR="0057731C" w:rsidRDefault="0057731C" w:rsidP="0057731C">
      <w:pPr>
        <w:shd w:val="clear" w:color="auto" w:fill="FFFFFF"/>
        <w:spacing w:after="0" w:line="240" w:lineRule="auto"/>
        <w:jc w:val="both"/>
        <w:textAlignment w:val="baseline"/>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2. </w:t>
      </w:r>
      <w:hyperlink r:id="rId7" w:history="1">
        <w:r w:rsidRPr="00A00A0B">
          <w:rPr>
            <w:rStyle w:val="Hyperlink"/>
            <w:rFonts w:ascii="Times New Roman" w:hAnsi="Times New Roman" w:cs="Times New Roman"/>
            <w:sz w:val="26"/>
            <w:szCs w:val="26"/>
            <w:lang w:val="vi-VN"/>
          </w:rPr>
          <w:t>https://thuvienphapluat.vn/hoi-dap-phap-luat/nghi-dinh-1442026ndcp-sua-doi-nghi-dinh-1812025ndcp-ve-thue-gia-tri-gia-tang-the-nao-138089820.html</w:t>
        </w:r>
      </w:hyperlink>
    </w:p>
    <w:p w14:paraId="18BA2817" w14:textId="77777777" w:rsidR="0057731C" w:rsidRPr="0057731C" w:rsidRDefault="0057731C" w:rsidP="0057731C">
      <w:pPr>
        <w:shd w:val="clear" w:color="auto" w:fill="FFFFFF"/>
        <w:spacing w:after="0" w:line="240" w:lineRule="auto"/>
        <w:jc w:val="both"/>
        <w:textAlignment w:val="baseline"/>
        <w:rPr>
          <w:rFonts w:ascii="Times New Roman" w:hAnsi="Times New Roman" w:cs="Times New Roman"/>
          <w:color w:val="000000" w:themeColor="text1"/>
          <w:sz w:val="26"/>
          <w:szCs w:val="26"/>
          <w:lang w:val="vi-VN"/>
        </w:rPr>
      </w:pPr>
    </w:p>
    <w:sectPr w:rsidR="0057731C" w:rsidRPr="005773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B6F8C"/>
    <w:multiLevelType w:val="multilevel"/>
    <w:tmpl w:val="7A9C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38"/>
    <w:rsid w:val="00220A38"/>
    <w:rsid w:val="00487EDF"/>
    <w:rsid w:val="0057731C"/>
    <w:rsid w:val="0060472F"/>
    <w:rsid w:val="009C335E"/>
    <w:rsid w:val="00A1260D"/>
    <w:rsid w:val="00A65A1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3305671"/>
  <w15:chartTrackingRefBased/>
  <w15:docId w15:val="{D5248CB9-7B6E-0647-94D9-8FE07679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20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0A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20A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A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A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20A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0A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20A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A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A38"/>
    <w:rPr>
      <w:rFonts w:eastAsiaTheme="majorEastAsia" w:cstheme="majorBidi"/>
      <w:color w:val="272727" w:themeColor="text1" w:themeTint="D8"/>
    </w:rPr>
  </w:style>
  <w:style w:type="paragraph" w:styleId="Title">
    <w:name w:val="Title"/>
    <w:basedOn w:val="Normal"/>
    <w:next w:val="Normal"/>
    <w:link w:val="TitleChar"/>
    <w:uiPriority w:val="10"/>
    <w:qFormat/>
    <w:rsid w:val="00220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A38"/>
    <w:pPr>
      <w:spacing w:before="160"/>
      <w:jc w:val="center"/>
    </w:pPr>
    <w:rPr>
      <w:i/>
      <w:iCs/>
      <w:color w:val="404040" w:themeColor="text1" w:themeTint="BF"/>
    </w:rPr>
  </w:style>
  <w:style w:type="character" w:customStyle="1" w:styleId="QuoteChar">
    <w:name w:val="Quote Char"/>
    <w:basedOn w:val="DefaultParagraphFont"/>
    <w:link w:val="Quote"/>
    <w:uiPriority w:val="29"/>
    <w:rsid w:val="00220A38"/>
    <w:rPr>
      <w:i/>
      <w:iCs/>
      <w:color w:val="404040" w:themeColor="text1" w:themeTint="BF"/>
    </w:rPr>
  </w:style>
  <w:style w:type="paragraph" w:styleId="ListParagraph">
    <w:name w:val="List Paragraph"/>
    <w:basedOn w:val="Normal"/>
    <w:uiPriority w:val="34"/>
    <w:qFormat/>
    <w:rsid w:val="00220A38"/>
    <w:pPr>
      <w:ind w:left="720"/>
      <w:contextualSpacing/>
    </w:pPr>
  </w:style>
  <w:style w:type="character" w:styleId="IntenseEmphasis">
    <w:name w:val="Intense Emphasis"/>
    <w:basedOn w:val="DefaultParagraphFont"/>
    <w:uiPriority w:val="21"/>
    <w:qFormat/>
    <w:rsid w:val="00220A38"/>
    <w:rPr>
      <w:i/>
      <w:iCs/>
      <w:color w:val="2F5496" w:themeColor="accent1" w:themeShade="BF"/>
    </w:rPr>
  </w:style>
  <w:style w:type="paragraph" w:styleId="IntenseQuote">
    <w:name w:val="Intense Quote"/>
    <w:basedOn w:val="Normal"/>
    <w:next w:val="Normal"/>
    <w:link w:val="IntenseQuoteChar"/>
    <w:uiPriority w:val="30"/>
    <w:qFormat/>
    <w:rsid w:val="00220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A38"/>
    <w:rPr>
      <w:i/>
      <w:iCs/>
      <w:color w:val="2F5496" w:themeColor="accent1" w:themeShade="BF"/>
    </w:rPr>
  </w:style>
  <w:style w:type="character" w:styleId="IntenseReference">
    <w:name w:val="Intense Reference"/>
    <w:basedOn w:val="DefaultParagraphFont"/>
    <w:uiPriority w:val="32"/>
    <w:qFormat/>
    <w:rsid w:val="00220A38"/>
    <w:rPr>
      <w:b/>
      <w:bCs/>
      <w:smallCaps/>
      <w:color w:val="2F5496" w:themeColor="accent1" w:themeShade="BF"/>
      <w:spacing w:val="5"/>
    </w:rPr>
  </w:style>
  <w:style w:type="paragraph" w:styleId="NormalWeb">
    <w:name w:val="Normal (Web)"/>
    <w:basedOn w:val="Normal"/>
    <w:uiPriority w:val="99"/>
    <w:semiHidden/>
    <w:unhideWhenUsed/>
    <w:rsid w:val="00220A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20A38"/>
    <w:rPr>
      <w:b/>
      <w:bCs/>
    </w:rPr>
  </w:style>
  <w:style w:type="paragraph" w:customStyle="1" w:styleId="days">
    <w:name w:val="days"/>
    <w:basedOn w:val="Normal"/>
    <w:rsid w:val="0057731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7731C"/>
    <w:rPr>
      <w:color w:val="0000FF"/>
      <w:u w:val="single"/>
    </w:rPr>
  </w:style>
  <w:style w:type="paragraph" w:customStyle="1" w:styleId="kbwscwlrl">
    <w:name w:val="kbwscwlrl"/>
    <w:basedOn w:val="Normal"/>
    <w:rsid w:val="0057731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57731C"/>
  </w:style>
  <w:style w:type="character" w:styleId="UnresolvedMention">
    <w:name w:val="Unresolved Mention"/>
    <w:basedOn w:val="DefaultParagraphFont"/>
    <w:uiPriority w:val="99"/>
    <w:semiHidden/>
    <w:unhideWhenUsed/>
    <w:rsid w:val="00577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hoi-dap-phap-luat/nghi-dinh-1442026ndcp-sua-doi-nghi-dinh-1812025ndcp-ve-thue-gia-tri-gia-tang-the-nao-1380898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aydungchinhsach.chinhphu.vn/nhung-diem-moi-cua-nghi-dinh-359-2025-nd-cp-ve-thue-gia-tri-gia-tang-119260110093134354.htm" TargetMode="External"/><Relationship Id="rId5" Type="http://schemas.openxmlformats.org/officeDocument/2006/relationships/hyperlink" Target="https://vanban.chinhphu.vn/?pageid=27160&amp;docid=21433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2026-05-07T01:19:00Z</dcterms:created>
  <dcterms:modified xsi:type="dcterms:W3CDTF">2026-05-07T01:34:00Z</dcterms:modified>
</cp:coreProperties>
</file>