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6AA51" w14:textId="51CDD32F" w:rsidR="00717B9E" w:rsidRPr="00717B9E" w:rsidRDefault="00717B9E" w:rsidP="00717B9E">
      <w:pPr>
        <w:spacing w:after="150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6"/>
          <w:szCs w:val="26"/>
        </w:rPr>
      </w:pPr>
      <w:r w:rsidRPr="00717B9E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6"/>
          <w:szCs w:val="26"/>
        </w:rPr>
        <w:t>ĐIỀU KIỆN HOÀN THUẾ TIÊU THỤ ĐẶC BIỆT TỪ NGÀY 01/01/2026</w:t>
      </w:r>
    </w:p>
    <w:p w14:paraId="1902FFAC" w14:textId="77777777" w:rsidR="00717B9E" w:rsidRDefault="00717B9E" w:rsidP="00717B9E">
      <w:pPr>
        <w:spacing w:after="150" w:line="378" w:lineRule="atLeast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Từ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ngày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01/01/2026,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Luật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Thuế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tiêu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thụ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đặc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biệt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2025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chính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thức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hiệu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lực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thi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hành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mang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đến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nhiều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thay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đổi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quan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trọng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liên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quan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đến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chính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sách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thuế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đối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với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hàng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hóa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dịch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vụ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thuộc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diện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chịu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thuế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tiêu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thụ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đặc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biệt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(TTĐB).</w:t>
      </w:r>
    </w:p>
    <w:p w14:paraId="4B90B36D" w14:textId="037ACC79" w:rsidR="00717B9E" w:rsidRPr="00717B9E" w:rsidRDefault="00717B9E" w:rsidP="00717B9E">
      <w:pPr>
        <w:spacing w:after="150" w:line="378" w:lineRule="atLeast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Một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những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nội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dung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đáng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chú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ý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cụ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thể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về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điều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kiện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hoàn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thuế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TTĐB,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tạo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điều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kiện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cho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người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nộp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thuế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xử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lý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kịp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thời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trường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phát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sinh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phù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với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luật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14:paraId="094039D0" w14:textId="56B655AC" w:rsidR="00717B9E" w:rsidRPr="00717B9E" w:rsidRDefault="00717B9E" w:rsidP="00717B9E">
      <w:pPr>
        <w:spacing w:after="150" w:line="378" w:lineRule="atLeast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7FF69289" w14:textId="77777777" w:rsidR="00717B9E" w:rsidRPr="00717B9E" w:rsidRDefault="00717B9E" w:rsidP="00717B9E">
      <w:pPr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</w:pPr>
      <w:r w:rsidRPr="00717B9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1. </w:t>
      </w:r>
      <w:proofErr w:type="spellStart"/>
      <w:r w:rsidRPr="00717B9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Các</w:t>
      </w:r>
      <w:proofErr w:type="spellEnd"/>
      <w:r w:rsidRPr="00717B9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trường</w:t>
      </w:r>
      <w:proofErr w:type="spellEnd"/>
      <w:r w:rsidRPr="00717B9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hợp</w:t>
      </w:r>
      <w:proofErr w:type="spellEnd"/>
      <w:r w:rsidRPr="00717B9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được</w:t>
      </w:r>
      <w:proofErr w:type="spellEnd"/>
      <w:r w:rsidRPr="00717B9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hoàn</w:t>
      </w:r>
      <w:proofErr w:type="spellEnd"/>
      <w:r w:rsidRPr="00717B9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thuế</w:t>
      </w:r>
      <w:proofErr w:type="spellEnd"/>
      <w:r w:rsidRPr="00717B9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tiêu</w:t>
      </w:r>
      <w:proofErr w:type="spellEnd"/>
      <w:r w:rsidRPr="00717B9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thụ</w:t>
      </w:r>
      <w:proofErr w:type="spellEnd"/>
      <w:r w:rsidRPr="00717B9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đặc</w:t>
      </w:r>
      <w:proofErr w:type="spellEnd"/>
      <w:r w:rsidRPr="00717B9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biệt</w:t>
      </w:r>
      <w:proofErr w:type="spellEnd"/>
    </w:p>
    <w:p w14:paraId="44FB314B" w14:textId="77777777" w:rsidR="00717B9E" w:rsidRDefault="00717B9E" w:rsidP="00717B9E">
      <w:pPr>
        <w:spacing w:after="150" w:line="378" w:lineRule="atLeast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Theo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khoản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1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Điều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9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Luật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Thuế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tiêu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thụ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đặc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biệt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2025,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hiệu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lực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từ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ngày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01/01/2026,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người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nộp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thuế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TTĐB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thể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hoàn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thuế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đã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nộp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trường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sau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đây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</w:t>
      </w:r>
    </w:p>
    <w:p w14:paraId="61AFE50F" w14:textId="4A76A740" w:rsidR="00717B9E" w:rsidRPr="00717B9E" w:rsidRDefault="00717B9E" w:rsidP="00717B9E">
      <w:pPr>
        <w:spacing w:after="150" w:line="378" w:lineRule="atLeast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717B9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Thứ</w:t>
      </w:r>
      <w:proofErr w:type="spellEnd"/>
      <w:r w:rsidRPr="00717B9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nhất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hàng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hóa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nguyên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liệu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nhập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khẩu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để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sản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xuất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gia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hàng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xuất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khẩu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ra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nước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ngoài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hoàn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thuế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chỉ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áp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dụng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đối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với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phần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nguyên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liệu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thực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tế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đã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sử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dụng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để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sản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xuất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ra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lượng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hàng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xuất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khẩu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không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hoàn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cho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toàn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bộ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lượng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nguyên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liệu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nhập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khẩu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nếu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chưa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chứng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từ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xuất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khẩu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tương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ứng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14:paraId="33F36B7C" w14:textId="77777777" w:rsidR="00717B9E" w:rsidRPr="00717B9E" w:rsidRDefault="00717B9E" w:rsidP="00717B9E">
      <w:pPr>
        <w:spacing w:after="150" w:line="378" w:lineRule="atLeast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717B9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Thứ</w:t>
      </w:r>
      <w:proofErr w:type="spellEnd"/>
      <w:r w:rsidRPr="00717B9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hai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trường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quyết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toán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thuế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khi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doanh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nghiệp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giải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thể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phá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sản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mà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vẫn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còn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số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thuế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tiêu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thụ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đặc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biệt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chưa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khấu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trừ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hết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 Khi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đó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người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nộp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thuế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thể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làm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thủ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tục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để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hoàn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phần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thuế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chưa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khấu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trừ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này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14:paraId="1C6F3144" w14:textId="77777777" w:rsidR="00717B9E" w:rsidRPr="00717B9E" w:rsidRDefault="00717B9E" w:rsidP="00717B9E">
      <w:pPr>
        <w:spacing w:after="150" w:line="378" w:lineRule="atLeast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717B9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Thứ</w:t>
      </w:r>
      <w:proofErr w:type="spellEnd"/>
      <w:r w:rsidRPr="00717B9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ba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hoàn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thuế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điều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ước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quốc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tế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mà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Việt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Nam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thành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viên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Đây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trường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áp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dụng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với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đối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tượng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ưu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đãi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cam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kết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quốc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tế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cần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căn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cứ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cụ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thể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từ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văn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bản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pháp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lý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hoặc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hiệp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song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phương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đa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phương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hiệu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lực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14:paraId="70C1C089" w14:textId="77777777" w:rsidR="00717B9E" w:rsidRPr="00717B9E" w:rsidRDefault="00717B9E" w:rsidP="00717B9E">
      <w:pPr>
        <w:spacing w:after="150" w:line="378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717B9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Tóm</w:t>
      </w:r>
      <w:proofErr w:type="spellEnd"/>
      <w:r w:rsidRPr="00717B9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tắt</w:t>
      </w:r>
      <w:proofErr w:type="spellEnd"/>
      <w:r w:rsidRPr="00717B9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các</w:t>
      </w:r>
      <w:proofErr w:type="spellEnd"/>
      <w:r w:rsidRPr="00717B9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điều</w:t>
      </w:r>
      <w:proofErr w:type="spellEnd"/>
      <w:r w:rsidRPr="00717B9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kiện</w:t>
      </w:r>
      <w:proofErr w:type="spellEnd"/>
      <w:r w:rsidRPr="00717B9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được</w:t>
      </w:r>
      <w:proofErr w:type="spellEnd"/>
      <w:r w:rsidRPr="00717B9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hoàn</w:t>
      </w:r>
      <w:proofErr w:type="spellEnd"/>
      <w:r w:rsidRPr="00717B9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thuế</w:t>
      </w:r>
      <w:proofErr w:type="spellEnd"/>
      <w:r w:rsidRPr="00717B9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TTĐB </w:t>
      </w:r>
      <w:proofErr w:type="spellStart"/>
      <w:r w:rsidRPr="00717B9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gồm</w:t>
      </w:r>
      <w:proofErr w:type="spellEnd"/>
      <w:r w:rsidRPr="00717B9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:</w:t>
      </w:r>
    </w:p>
    <w:p w14:paraId="540448DF" w14:textId="77777777" w:rsidR="00717B9E" w:rsidRPr="00717B9E" w:rsidRDefault="00717B9E" w:rsidP="00717B9E">
      <w:pPr>
        <w:numPr>
          <w:ilvl w:val="0"/>
          <w:numId w:val="1"/>
        </w:numPr>
        <w:spacing w:after="150" w:line="378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Hàng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hóa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nguyên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liệu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nhập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khẩu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để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sản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xuất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gia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hàng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hóa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xuất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khẩu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thực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tế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14:paraId="436C6BA7" w14:textId="77777777" w:rsidR="00717B9E" w:rsidRPr="00717B9E" w:rsidRDefault="00717B9E" w:rsidP="00717B9E">
      <w:pPr>
        <w:numPr>
          <w:ilvl w:val="0"/>
          <w:numId w:val="1"/>
        </w:numPr>
        <w:spacing w:after="150" w:line="378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Quyết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toán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thuế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khi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giải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thể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phá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sản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mà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còn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số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thuế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chưa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khấu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trừ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14:paraId="316ABAF0" w14:textId="77777777" w:rsidR="00717B9E" w:rsidRPr="00717B9E" w:rsidRDefault="00717B9E" w:rsidP="00717B9E">
      <w:pPr>
        <w:numPr>
          <w:ilvl w:val="0"/>
          <w:numId w:val="1"/>
        </w:numPr>
        <w:spacing w:after="150" w:line="378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trường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điều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ước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quốc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tế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hiệu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lực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tại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Việt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Nam.</w:t>
      </w:r>
    </w:p>
    <w:p w14:paraId="669257C9" w14:textId="77777777" w:rsidR="00717B9E" w:rsidRPr="00717B9E" w:rsidRDefault="00717B9E" w:rsidP="00717B9E">
      <w:pPr>
        <w:spacing w:after="150" w:line="378" w:lineRule="atLeast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lastRenderedPageBreak/>
        <w:t>Ngoài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ra,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nếu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tổ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tác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chuyển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đổi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thành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tác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xã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thì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tác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xã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đó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kế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thừa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số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thuế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TTĐB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nộp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thừa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hoặc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chưa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khấu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trừ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hết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tổ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tác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trước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đó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thể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tiếp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tục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khấu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trừ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hoặc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làm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thủ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tục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hoàn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thuế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14:paraId="173EA89E" w14:textId="77777777" w:rsidR="00717B9E" w:rsidRPr="00717B9E" w:rsidRDefault="00717B9E" w:rsidP="00717B9E">
      <w:pPr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</w:pPr>
      <w:r w:rsidRPr="00717B9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2. </w:t>
      </w:r>
      <w:proofErr w:type="spellStart"/>
      <w:r w:rsidRPr="00717B9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Thời</w:t>
      </w:r>
      <w:proofErr w:type="spellEnd"/>
      <w:r w:rsidRPr="00717B9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điểm</w:t>
      </w:r>
      <w:proofErr w:type="spellEnd"/>
      <w:r w:rsidRPr="00717B9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xác</w:t>
      </w:r>
      <w:proofErr w:type="spellEnd"/>
      <w:r w:rsidRPr="00717B9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định</w:t>
      </w:r>
      <w:proofErr w:type="spellEnd"/>
      <w:r w:rsidRPr="00717B9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thuế</w:t>
      </w:r>
      <w:proofErr w:type="spellEnd"/>
      <w:r w:rsidRPr="00717B9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tiêu</w:t>
      </w:r>
      <w:proofErr w:type="spellEnd"/>
      <w:r w:rsidRPr="00717B9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thụ</w:t>
      </w:r>
      <w:proofErr w:type="spellEnd"/>
      <w:r w:rsidRPr="00717B9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đặc</w:t>
      </w:r>
      <w:proofErr w:type="spellEnd"/>
      <w:r w:rsidRPr="00717B9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biệt</w:t>
      </w:r>
      <w:proofErr w:type="spellEnd"/>
    </w:p>
    <w:p w14:paraId="59D76CC5" w14:textId="77777777" w:rsidR="00717B9E" w:rsidRPr="00717B9E" w:rsidRDefault="00717B9E" w:rsidP="00717B9E">
      <w:pPr>
        <w:spacing w:after="150" w:line="378" w:lineRule="atLeast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xác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đúng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thời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điểm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phát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sinh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nghĩa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vụ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thuế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yếu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tố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quan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trọng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quản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lý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kê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khai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thuế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TTĐB.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Căn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cứ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Điều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7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Luật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Thuế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tiêu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thụ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đặc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biệt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2025,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thời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điểm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xác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thuế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TTĐB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từng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loại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hoạt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như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sau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</w:t>
      </w:r>
    </w:p>
    <w:p w14:paraId="3874A453" w14:textId="77777777" w:rsidR="00717B9E" w:rsidRPr="00717B9E" w:rsidRDefault="00717B9E" w:rsidP="00717B9E">
      <w:pPr>
        <w:spacing w:after="150" w:line="378" w:lineRule="atLeast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717B9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Đối</w:t>
      </w:r>
      <w:proofErr w:type="spellEnd"/>
      <w:r w:rsidRPr="00717B9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với</w:t>
      </w:r>
      <w:proofErr w:type="spellEnd"/>
      <w:r w:rsidRPr="00717B9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hàng</w:t>
      </w:r>
      <w:proofErr w:type="spellEnd"/>
      <w:r w:rsidRPr="00717B9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hóa</w:t>
      </w:r>
      <w:proofErr w:type="spellEnd"/>
      <w:r w:rsidRPr="00717B9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sản</w:t>
      </w:r>
      <w:proofErr w:type="spellEnd"/>
      <w:r w:rsidRPr="00717B9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xuất</w:t>
      </w:r>
      <w:proofErr w:type="spellEnd"/>
      <w:r w:rsidRPr="00717B9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trong</w:t>
      </w:r>
      <w:proofErr w:type="spellEnd"/>
      <w:r w:rsidRPr="00717B9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nước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thời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điểm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xác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thuế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khi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chuyển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giao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quyền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sở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hữu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hoặc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quyền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sử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dụng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hàng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hóa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cho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người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mua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Điều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này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áp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dụng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kể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cả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trường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chưa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tiền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từ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người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mua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14:paraId="6DD0C710" w14:textId="77777777" w:rsidR="00717B9E" w:rsidRPr="00717B9E" w:rsidRDefault="00717B9E" w:rsidP="00717B9E">
      <w:pPr>
        <w:spacing w:after="150" w:line="378" w:lineRule="atLeast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717B9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Đối</w:t>
      </w:r>
      <w:proofErr w:type="spellEnd"/>
      <w:r w:rsidRPr="00717B9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với</w:t>
      </w:r>
      <w:proofErr w:type="spellEnd"/>
      <w:r w:rsidRPr="00717B9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hoạt</w:t>
      </w:r>
      <w:proofErr w:type="spellEnd"/>
      <w:r w:rsidRPr="00717B9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động</w:t>
      </w:r>
      <w:proofErr w:type="spellEnd"/>
      <w:r w:rsidRPr="00717B9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cung</w:t>
      </w:r>
      <w:proofErr w:type="spellEnd"/>
      <w:r w:rsidRPr="00717B9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ứng</w:t>
      </w:r>
      <w:proofErr w:type="spellEnd"/>
      <w:r w:rsidRPr="00717B9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dịch</w:t>
      </w:r>
      <w:proofErr w:type="spellEnd"/>
      <w:r w:rsidRPr="00717B9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vụ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thời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điểm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tính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thuế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khi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hoàn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thành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cung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cấp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dịch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vụ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hoặc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khi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lập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hóa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đơn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cung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ứng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tùy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thời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điểm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nào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đến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trước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tiền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hay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chưa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không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ảnh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hưởng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đến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nghĩa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vụ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thuế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14:paraId="7D719284" w14:textId="77777777" w:rsidR="00717B9E" w:rsidRPr="00717B9E" w:rsidRDefault="00717B9E" w:rsidP="00717B9E">
      <w:pPr>
        <w:spacing w:after="150" w:line="378" w:lineRule="atLeast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717B9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Đối</w:t>
      </w:r>
      <w:proofErr w:type="spellEnd"/>
      <w:r w:rsidRPr="00717B9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với</w:t>
      </w:r>
      <w:proofErr w:type="spellEnd"/>
      <w:r w:rsidRPr="00717B9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hàng</w:t>
      </w:r>
      <w:proofErr w:type="spellEnd"/>
      <w:r w:rsidRPr="00717B9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hóa</w:t>
      </w:r>
      <w:proofErr w:type="spellEnd"/>
      <w:r w:rsidRPr="00717B9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nhập</w:t>
      </w:r>
      <w:proofErr w:type="spellEnd"/>
      <w:r w:rsidRPr="00717B9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khẩu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thời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điểm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phát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sinh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thuế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TTĐB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tại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thời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điểm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đăng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ký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tờ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khai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hải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quan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Đây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căn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cứ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để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cơ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quan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hải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quan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thực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hiện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tính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thuế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thuế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trước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khi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thông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quan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hàng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hóa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14:paraId="090ECCC4" w14:textId="77777777" w:rsidR="00717B9E" w:rsidRPr="00717B9E" w:rsidRDefault="00717B9E" w:rsidP="00717B9E">
      <w:pPr>
        <w:spacing w:after="150" w:line="378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717B9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Tóm</w:t>
      </w:r>
      <w:proofErr w:type="spellEnd"/>
      <w:r w:rsidRPr="00717B9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lược</w:t>
      </w:r>
      <w:proofErr w:type="spellEnd"/>
      <w:r w:rsidRPr="00717B9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thời</w:t>
      </w:r>
      <w:proofErr w:type="spellEnd"/>
      <w:r w:rsidRPr="00717B9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điểm</w:t>
      </w:r>
      <w:proofErr w:type="spellEnd"/>
      <w:r w:rsidRPr="00717B9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xác</w:t>
      </w:r>
      <w:proofErr w:type="spellEnd"/>
      <w:r w:rsidRPr="00717B9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định</w:t>
      </w:r>
      <w:proofErr w:type="spellEnd"/>
      <w:r w:rsidRPr="00717B9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thuế</w:t>
      </w:r>
      <w:proofErr w:type="spellEnd"/>
      <w:r w:rsidRPr="00717B9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TTĐB </w:t>
      </w:r>
      <w:proofErr w:type="spellStart"/>
      <w:r w:rsidRPr="00717B9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như</w:t>
      </w:r>
      <w:proofErr w:type="spellEnd"/>
      <w:r w:rsidRPr="00717B9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sau</w:t>
      </w:r>
      <w:proofErr w:type="spellEnd"/>
      <w:r w:rsidRPr="00717B9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:</w:t>
      </w:r>
    </w:p>
    <w:p w14:paraId="17D22398" w14:textId="77777777" w:rsidR="00717B9E" w:rsidRPr="00717B9E" w:rsidRDefault="00717B9E" w:rsidP="00717B9E">
      <w:pPr>
        <w:numPr>
          <w:ilvl w:val="0"/>
          <w:numId w:val="2"/>
        </w:numPr>
        <w:spacing w:after="150" w:line="378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Hàng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hóa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nước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khi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chuyển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giao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quyền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sở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hữu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/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sử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dụng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14:paraId="73AC2E05" w14:textId="77777777" w:rsidR="00717B9E" w:rsidRPr="00717B9E" w:rsidRDefault="00717B9E" w:rsidP="00717B9E">
      <w:pPr>
        <w:numPr>
          <w:ilvl w:val="0"/>
          <w:numId w:val="2"/>
        </w:numPr>
        <w:spacing w:after="150" w:line="378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Dịch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vụ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khi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hoàn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thành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cung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ứng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hoặc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lập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hóa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đơn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14:paraId="2F6E71AD" w14:textId="77777777" w:rsidR="00717B9E" w:rsidRPr="00717B9E" w:rsidRDefault="00717B9E" w:rsidP="00717B9E">
      <w:pPr>
        <w:numPr>
          <w:ilvl w:val="0"/>
          <w:numId w:val="2"/>
        </w:numPr>
        <w:spacing w:after="150" w:line="378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Hàng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hóa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nhập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khẩu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tại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thời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điểm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đăng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ký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tờ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khai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hải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quan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14:paraId="3B0BB711" w14:textId="77777777" w:rsidR="00717B9E" w:rsidRPr="00717B9E" w:rsidRDefault="00717B9E" w:rsidP="00717B9E">
      <w:pPr>
        <w:spacing w:after="150" w:line="378" w:lineRule="atLeast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này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giúp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làm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rõ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nghĩa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vụ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thuế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tại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từng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thời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điểm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cụ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thể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tránh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trường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kê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khai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sai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hoặc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nộp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thuế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trễ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hạn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dẫn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đến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bị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xử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phạt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vi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phạm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hành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chính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về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thuế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14:paraId="4B7ACA03" w14:textId="77777777" w:rsidR="00717B9E" w:rsidRPr="00717B9E" w:rsidRDefault="00717B9E" w:rsidP="00717B9E">
      <w:pPr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</w:pPr>
      <w:r w:rsidRPr="00717B9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3. </w:t>
      </w:r>
      <w:proofErr w:type="spellStart"/>
      <w:r w:rsidRPr="00717B9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Quy</w:t>
      </w:r>
      <w:proofErr w:type="spellEnd"/>
      <w:r w:rsidRPr="00717B9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định</w:t>
      </w:r>
      <w:proofErr w:type="spellEnd"/>
      <w:r w:rsidRPr="00717B9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về</w:t>
      </w:r>
      <w:proofErr w:type="spellEnd"/>
      <w:r w:rsidRPr="00717B9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giảm</w:t>
      </w:r>
      <w:proofErr w:type="spellEnd"/>
      <w:r w:rsidRPr="00717B9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thuế</w:t>
      </w:r>
      <w:proofErr w:type="spellEnd"/>
      <w:r w:rsidRPr="00717B9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tiêu</w:t>
      </w:r>
      <w:proofErr w:type="spellEnd"/>
      <w:r w:rsidRPr="00717B9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thụ</w:t>
      </w:r>
      <w:proofErr w:type="spellEnd"/>
      <w:r w:rsidRPr="00717B9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đặc</w:t>
      </w:r>
      <w:proofErr w:type="spellEnd"/>
      <w:r w:rsidRPr="00717B9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biệt</w:t>
      </w:r>
      <w:proofErr w:type="spellEnd"/>
    </w:p>
    <w:p w14:paraId="40A4AFD4" w14:textId="77777777" w:rsidR="00717B9E" w:rsidRPr="00717B9E" w:rsidRDefault="00717B9E" w:rsidP="00717B9E">
      <w:pPr>
        <w:spacing w:after="150" w:line="378" w:lineRule="atLeast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Ngoài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hoàn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thuế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một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số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trường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nhất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người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nộp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thuế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TTĐB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còn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thể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xem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xét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giảm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thuế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nếu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rơi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vào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hoàn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cảnh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khó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khăn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bất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khả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kháng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Điều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10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Luật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Thuế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tiêu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thụ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đặc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biệt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2025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cụ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thể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về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giảm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thuế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đối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với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doanh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nghiệp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sản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xuất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hàng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hóa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chịu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thuế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TTĐB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gặp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tổn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thất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do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thiên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tai,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hỏa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hoạn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hoặc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tai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nạn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bất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ngờ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14:paraId="08FA3096" w14:textId="77777777" w:rsidR="00717B9E" w:rsidRPr="00717B9E" w:rsidRDefault="00717B9E" w:rsidP="00717B9E">
      <w:pPr>
        <w:spacing w:after="150" w:line="378" w:lineRule="atLeast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lastRenderedPageBreak/>
        <w:t>Mức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giảm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thuế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tối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đa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không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vượt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quá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 30%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số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thuế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phải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nộp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năm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xảy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ra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thiệt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hại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Tuy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nhiên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mức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giảm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cụ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thể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sẽ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tính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toán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dựa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trên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giá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trị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tổn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thất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thực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tế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sau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khi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trừ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khoản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bồi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thường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(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nếu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).</w:t>
      </w:r>
    </w:p>
    <w:p w14:paraId="0126926F" w14:textId="77777777" w:rsidR="00717B9E" w:rsidRPr="00717B9E" w:rsidRDefault="00717B9E" w:rsidP="00717B9E">
      <w:pPr>
        <w:spacing w:after="150" w:line="378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717B9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Các</w:t>
      </w:r>
      <w:proofErr w:type="spellEnd"/>
      <w:r w:rsidRPr="00717B9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điều</w:t>
      </w:r>
      <w:proofErr w:type="spellEnd"/>
      <w:r w:rsidRPr="00717B9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kiện</w:t>
      </w:r>
      <w:proofErr w:type="spellEnd"/>
      <w:r w:rsidRPr="00717B9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để</w:t>
      </w:r>
      <w:proofErr w:type="spellEnd"/>
      <w:r w:rsidRPr="00717B9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được</w:t>
      </w:r>
      <w:proofErr w:type="spellEnd"/>
      <w:r w:rsidRPr="00717B9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giảm</w:t>
      </w:r>
      <w:proofErr w:type="spellEnd"/>
      <w:r w:rsidRPr="00717B9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thuế</w:t>
      </w:r>
      <w:proofErr w:type="spellEnd"/>
      <w:r w:rsidRPr="00717B9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TTĐB bao </w:t>
      </w:r>
      <w:proofErr w:type="spellStart"/>
      <w:r w:rsidRPr="00717B9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gồm</w:t>
      </w:r>
      <w:proofErr w:type="spellEnd"/>
      <w:r w:rsidRPr="00717B9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:</w:t>
      </w:r>
    </w:p>
    <w:p w14:paraId="3FCC58AF" w14:textId="77777777" w:rsidR="00717B9E" w:rsidRPr="00717B9E" w:rsidRDefault="00717B9E" w:rsidP="00717B9E">
      <w:pPr>
        <w:numPr>
          <w:ilvl w:val="0"/>
          <w:numId w:val="3"/>
        </w:numPr>
        <w:spacing w:after="150" w:line="378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tổ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chức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sản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xuất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hàng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hóa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thuộc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đối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tượng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chịu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thuế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TTĐB.</w:t>
      </w:r>
    </w:p>
    <w:p w14:paraId="1D72F96F" w14:textId="77777777" w:rsidR="00717B9E" w:rsidRPr="00717B9E" w:rsidRDefault="00717B9E" w:rsidP="00717B9E">
      <w:pPr>
        <w:numPr>
          <w:ilvl w:val="0"/>
          <w:numId w:val="3"/>
        </w:numPr>
        <w:spacing w:after="150" w:line="378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Bị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thiệt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hại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do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thiên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tai,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hỏa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hoạn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hoặc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tai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nạn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bất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ngờ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14:paraId="5ED7DDAE" w14:textId="77777777" w:rsidR="00717B9E" w:rsidRPr="00717B9E" w:rsidRDefault="00717B9E" w:rsidP="00717B9E">
      <w:pPr>
        <w:numPr>
          <w:ilvl w:val="0"/>
          <w:numId w:val="3"/>
        </w:numPr>
        <w:spacing w:after="150" w:line="378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hồ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sơ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chứng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minh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thiệt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hại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thực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tế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chưa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bồi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thường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đầy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đủ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14:paraId="1A604B8F" w14:textId="77777777" w:rsidR="00717B9E" w:rsidRPr="00717B9E" w:rsidRDefault="00717B9E" w:rsidP="00717B9E">
      <w:pPr>
        <w:numPr>
          <w:ilvl w:val="0"/>
          <w:numId w:val="3"/>
        </w:numPr>
        <w:spacing w:after="150" w:line="378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Thực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hiện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đầy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đủ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thủ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tục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hồ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sơ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pháp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luật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về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quản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lý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thuế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14:paraId="7B3F5D46" w14:textId="77777777" w:rsidR="00717B9E" w:rsidRPr="00717B9E" w:rsidRDefault="00717B9E" w:rsidP="00717B9E">
      <w:pPr>
        <w:spacing w:after="150" w:line="378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giảm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thuế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một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chính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sách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hỗ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trợ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thiết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thực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nhằm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giúp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doanh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nghiệp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vượt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qua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khó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khăn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đột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xuất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thời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đảm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bảo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nghĩa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vụ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thuế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gắn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với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khả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năng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tài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chính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thực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tế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14:paraId="48EA4CB3" w14:textId="77777777" w:rsidR="00717B9E" w:rsidRPr="00717B9E" w:rsidRDefault="00717B9E" w:rsidP="00717B9E">
      <w:pPr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</w:pPr>
      <w:proofErr w:type="spellStart"/>
      <w:r w:rsidRPr="00717B9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Kết</w:t>
      </w:r>
      <w:proofErr w:type="spellEnd"/>
      <w:r w:rsidRPr="00717B9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luận</w:t>
      </w:r>
      <w:proofErr w:type="spellEnd"/>
    </w:p>
    <w:p w14:paraId="5F8D5C0C" w14:textId="77777777" w:rsidR="00717B9E" w:rsidRPr="00717B9E" w:rsidRDefault="00717B9E" w:rsidP="00717B9E">
      <w:pPr>
        <w:spacing w:after="150" w:line="378" w:lineRule="atLeast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Từ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ngày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01/01/2026,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với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Luật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Thuế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tiêu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thụ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đặc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biệt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2025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chính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thức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hiệu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lực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 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người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nộp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thuế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cần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nắm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rõ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về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hoàn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thuế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xác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thời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điểm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nộp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thuế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điều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kiện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giảm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thuế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Đây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những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nội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dung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quan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trọng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không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chỉ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giúp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doanh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nghiệp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thực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hiện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đúng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pháp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luật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mà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còn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tận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dụng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quyền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lợi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về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thuế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trường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phù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14:paraId="4D111D36" w14:textId="739EEB6D" w:rsidR="00717B9E" w:rsidRDefault="00717B9E" w:rsidP="00717B9E">
      <w:pPr>
        <w:spacing w:after="150" w:line="378" w:lineRule="atLeast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hiểu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áp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dụng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đúng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này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sẽ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giúp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doanh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nghiệp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giảm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thiểu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rủi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ro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về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pháp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lý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tối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ưu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hóa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nghĩa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vụ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tài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chính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hoạt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sản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xuất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kinh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doanh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một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cách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bền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vững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bối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cảnh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chính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sách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thuế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ngày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càng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minh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bạch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chặt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chẽ</w:t>
      </w:r>
      <w:proofErr w:type="spellEnd"/>
      <w:r w:rsidRPr="00717B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14:paraId="32BAA4FE" w14:textId="0A08A5BD" w:rsidR="00717B9E" w:rsidRPr="00717B9E" w:rsidRDefault="00717B9E" w:rsidP="00717B9E">
      <w:pPr>
        <w:spacing w:after="150" w:line="378" w:lineRule="atLeast"/>
        <w:ind w:firstLine="720"/>
        <w:jc w:val="right"/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val="vi-VN"/>
        </w:rPr>
      </w:pPr>
      <w:r w:rsidRPr="00717B9E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val="vi-VN"/>
        </w:rPr>
        <w:t>GV_ Nguyễn Thị Đoan Trang</w:t>
      </w:r>
    </w:p>
    <w:p w14:paraId="2C707783" w14:textId="77777777" w:rsidR="00717B9E" w:rsidRPr="00717B9E" w:rsidRDefault="00717B9E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sectPr w:rsidR="00717B9E" w:rsidRPr="00717B9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7252AC"/>
    <w:multiLevelType w:val="multilevel"/>
    <w:tmpl w:val="D38E8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D5050E"/>
    <w:multiLevelType w:val="multilevel"/>
    <w:tmpl w:val="51CA2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C2D11A7"/>
    <w:multiLevelType w:val="multilevel"/>
    <w:tmpl w:val="BA225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B9E"/>
    <w:rsid w:val="00717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1DF999"/>
  <w15:chartTrackingRefBased/>
  <w15:docId w15:val="{A2AA2C69-1D72-7149-8556-039725C84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17B9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17B9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7B9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17B9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717B9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717B9E"/>
  </w:style>
  <w:style w:type="character" w:styleId="Strong">
    <w:name w:val="Strong"/>
    <w:basedOn w:val="DefaultParagraphFont"/>
    <w:uiPriority w:val="22"/>
    <w:qFormat/>
    <w:rsid w:val="00717B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34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740</Words>
  <Characters>4219</Characters>
  <Application>Microsoft Office Word</Application>
  <DocSecurity>0</DocSecurity>
  <Lines>35</Lines>
  <Paragraphs>9</Paragraphs>
  <ScaleCrop>false</ScaleCrop>
  <Company/>
  <LinksUpToDate>false</LinksUpToDate>
  <CharactersWithSpaces>4950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2026-05-15T02:53:00Z</dcterms:created>
  <dcterms:modified xsi:type="dcterms:W3CDTF">2026-05-15T02:57:00Z</dcterms:modified>
</cp:coreProperties>
</file>