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70C8" w14:textId="32387367" w:rsidR="00053D2C" w:rsidRPr="00053D2C" w:rsidRDefault="00053D2C" w:rsidP="00897BB9">
      <w:pPr>
        <w:spacing w:line="360" w:lineRule="auto"/>
        <w:jc w:val="center"/>
        <w:outlineLvl w:val="0"/>
        <w:rPr>
          <w:rFonts w:ascii="Times New Roman" w:eastAsia="Times New Roman" w:hAnsi="Times New Roman" w:cs="Times New Roman"/>
          <w:b/>
          <w:bCs/>
          <w:color w:val="000000"/>
          <w:kern w:val="36"/>
          <w:sz w:val="44"/>
          <w:szCs w:val="44"/>
          <w:lang w:val="vi-VN"/>
        </w:rPr>
      </w:pPr>
      <w:r w:rsidRPr="00053D2C">
        <w:rPr>
          <w:rFonts w:ascii="Times New Roman" w:eastAsia="Times New Roman" w:hAnsi="Times New Roman" w:cs="Times New Roman"/>
          <w:b/>
          <w:bCs/>
          <w:color w:val="000000"/>
          <w:kern w:val="36"/>
          <w:sz w:val="44"/>
          <w:szCs w:val="44"/>
        </w:rPr>
        <w:t xml:space="preserve">Quy định </w:t>
      </w:r>
      <w:r w:rsidR="00897BB9">
        <w:rPr>
          <w:rFonts w:ascii="Times New Roman" w:eastAsia="Times New Roman" w:hAnsi="Times New Roman" w:cs="Times New Roman"/>
          <w:b/>
          <w:bCs/>
          <w:color w:val="000000"/>
          <w:kern w:val="36"/>
          <w:sz w:val="44"/>
          <w:szCs w:val="44"/>
        </w:rPr>
        <w:t>về</w:t>
      </w:r>
      <w:r w:rsidR="00897BB9">
        <w:rPr>
          <w:rFonts w:ascii="Times New Roman" w:eastAsia="Times New Roman" w:hAnsi="Times New Roman" w:cs="Times New Roman"/>
          <w:b/>
          <w:bCs/>
          <w:color w:val="000000"/>
          <w:kern w:val="36"/>
          <w:sz w:val="44"/>
          <w:szCs w:val="44"/>
          <w:lang w:val="vi-VN"/>
        </w:rPr>
        <w:t xml:space="preserve"> thanh toán không dùng tiền mặt và</w:t>
      </w:r>
      <w:r w:rsidRPr="00053D2C">
        <w:rPr>
          <w:rFonts w:ascii="Times New Roman" w:eastAsia="Times New Roman" w:hAnsi="Times New Roman" w:cs="Times New Roman"/>
          <w:b/>
          <w:bCs/>
          <w:color w:val="000000"/>
          <w:kern w:val="36"/>
          <w:sz w:val="44"/>
          <w:szCs w:val="44"/>
        </w:rPr>
        <w:t xml:space="preserve"> điều kiện khấu trừ thuế GTGT đối với khoản trả chậm, trả góp trên 5 triệu </w:t>
      </w:r>
      <w:r w:rsidRPr="00621330">
        <w:rPr>
          <w:rFonts w:ascii="Times New Roman" w:eastAsia="Times New Roman" w:hAnsi="Times New Roman" w:cs="Times New Roman"/>
          <w:b/>
          <w:bCs/>
          <w:color w:val="000000"/>
          <w:kern w:val="36"/>
          <w:sz w:val="44"/>
          <w:szCs w:val="44"/>
        </w:rPr>
        <w:t>đồng</w:t>
      </w:r>
    </w:p>
    <w:p w14:paraId="7F9F3A05" w14:textId="454CDB6C" w:rsidR="00897BB9" w:rsidRPr="00897BB9" w:rsidRDefault="00897BB9" w:rsidP="00897BB9">
      <w:pPr>
        <w:spacing w:line="360" w:lineRule="auto"/>
        <w:jc w:val="both"/>
        <w:rPr>
          <w:rFonts w:ascii="Times New Roman" w:eastAsia="Times New Roman" w:hAnsi="Times New Roman" w:cs="Times New Roman"/>
          <w:sz w:val="26"/>
          <w:szCs w:val="26"/>
        </w:rPr>
      </w:pPr>
      <w:r w:rsidRPr="00053D2C">
        <w:rPr>
          <w:rFonts w:ascii="Times New Roman" w:eastAsia="Times New Roman" w:hAnsi="Times New Roman" w:cs="Times New Roman"/>
          <w:sz w:val="26"/>
          <w:szCs w:val="26"/>
        </w:rPr>
        <w:t>Ngày 5/5/2026, Chính phủ đã ban hành </w:t>
      </w:r>
      <w:hyperlink r:id="rId5" w:tgtFrame="_blank" w:history="1">
        <w:r w:rsidRPr="00053D2C">
          <w:rPr>
            <w:rFonts w:ascii="Times New Roman" w:eastAsia="Times New Roman" w:hAnsi="Times New Roman" w:cs="Times New Roman"/>
            <w:color w:val="0E70A4"/>
            <w:sz w:val="26"/>
            <w:szCs w:val="26"/>
          </w:rPr>
          <w:t>Nghị định 144/2026/NĐ-CP</w:t>
        </w:r>
      </w:hyperlink>
      <w:r w:rsidRPr="00053D2C">
        <w:rPr>
          <w:rFonts w:ascii="Times New Roman" w:eastAsia="Times New Roman" w:hAnsi="Times New Roman" w:cs="Times New Roman"/>
          <w:sz w:val="26"/>
          <w:szCs w:val="26"/>
        </w:rPr>
        <w:t>sửa đổi, bổ sung một số điều của </w:t>
      </w:r>
      <w:hyperlink r:id="rId6" w:tgtFrame="_blank" w:history="1">
        <w:r w:rsidRPr="00053D2C">
          <w:rPr>
            <w:rFonts w:ascii="Times New Roman" w:eastAsia="Times New Roman" w:hAnsi="Times New Roman" w:cs="Times New Roman"/>
            <w:color w:val="0E70A4"/>
            <w:sz w:val="26"/>
            <w:szCs w:val="26"/>
          </w:rPr>
          <w:t>Nghị định 181/2025/NĐ-CP</w:t>
        </w:r>
      </w:hyperlink>
      <w:r w:rsidRPr="00053D2C">
        <w:rPr>
          <w:rFonts w:ascii="Times New Roman" w:eastAsia="Times New Roman" w:hAnsi="Times New Roman" w:cs="Times New Roman"/>
          <w:sz w:val="26"/>
          <w:szCs w:val="26"/>
        </w:rPr>
        <w:t> ngày 1/7/2025 quy định chi tiết thi hành một số điều của Luật Thuế giá trị gia tăng đã được sửa đổi, bổ sung một số điều bởi </w:t>
      </w:r>
      <w:hyperlink r:id="rId7" w:tgtFrame="_blank" w:history="1">
        <w:r w:rsidRPr="00053D2C">
          <w:rPr>
            <w:rFonts w:ascii="Times New Roman" w:eastAsia="Times New Roman" w:hAnsi="Times New Roman" w:cs="Times New Roman"/>
            <w:color w:val="0E70A4"/>
            <w:sz w:val="26"/>
            <w:szCs w:val="26"/>
          </w:rPr>
          <w:t>Nghị định 359/2025/NĐ-CP</w:t>
        </w:r>
      </w:hyperlink>
      <w:r w:rsidRPr="00053D2C">
        <w:rPr>
          <w:rFonts w:ascii="Times New Roman" w:eastAsia="Times New Roman" w:hAnsi="Times New Roman" w:cs="Times New Roman"/>
          <w:sz w:val="26"/>
          <w:szCs w:val="26"/>
        </w:rPr>
        <w:t> ngày 31/12/2025. </w:t>
      </w:r>
      <w:hyperlink r:id="rId8" w:tgtFrame="_blank" w:history="1">
        <w:r w:rsidRPr="00053D2C">
          <w:rPr>
            <w:rFonts w:ascii="Times New Roman" w:eastAsia="Times New Roman" w:hAnsi="Times New Roman" w:cs="Times New Roman"/>
            <w:color w:val="0E70A4"/>
            <w:sz w:val="26"/>
            <w:szCs w:val="26"/>
          </w:rPr>
          <w:t>Nghị định 144/2026/NĐ-CP</w:t>
        </w:r>
      </w:hyperlink>
      <w:r w:rsidRPr="00053D2C">
        <w:rPr>
          <w:rFonts w:ascii="Times New Roman" w:eastAsia="Times New Roman" w:hAnsi="Times New Roman" w:cs="Times New Roman"/>
          <w:sz w:val="26"/>
          <w:szCs w:val="26"/>
        </w:rPr>
        <w:t> có hiệu lực áp dụng từ ngày 20/06/2026.</w:t>
      </w:r>
      <w:r w:rsidRPr="00897BB9">
        <w:rPr>
          <w:rStyle w:val="Emphasis"/>
          <w:rFonts w:ascii="Times New Roman" w:hAnsi="Times New Roman" w:cs="Times New Roman"/>
          <w:b/>
          <w:bCs/>
          <w:sz w:val="26"/>
          <w:szCs w:val="26"/>
        </w:rPr>
        <w:t xml:space="preserve"> </w:t>
      </w:r>
      <w:r w:rsidRPr="00053D2C">
        <w:rPr>
          <w:rFonts w:ascii="Times New Roman" w:eastAsia="Times New Roman" w:hAnsi="Times New Roman" w:cs="Times New Roman"/>
          <w:sz w:val="26"/>
          <w:szCs w:val="26"/>
        </w:rPr>
        <w:t>Theo đó, tại Điều 4 </w:t>
      </w:r>
      <w:hyperlink r:id="rId9" w:tgtFrame="_blank" w:history="1">
        <w:r w:rsidRPr="00053D2C">
          <w:rPr>
            <w:rFonts w:ascii="Times New Roman" w:eastAsia="Times New Roman" w:hAnsi="Times New Roman" w:cs="Times New Roman"/>
            <w:color w:val="0E70A4"/>
            <w:sz w:val="26"/>
            <w:szCs w:val="26"/>
          </w:rPr>
          <w:t>Nghị định 144/2026/NĐ-CP</w:t>
        </w:r>
      </w:hyperlink>
      <w:r w:rsidRPr="00053D2C">
        <w:rPr>
          <w:rFonts w:ascii="Times New Roman" w:eastAsia="Times New Roman" w:hAnsi="Times New Roman" w:cs="Times New Roman"/>
          <w:sz w:val="26"/>
          <w:szCs w:val="26"/>
        </w:rPr>
        <w:t> cũng sửa đổi, bổ sung điểm g khoản 2 Điều 26 </w:t>
      </w:r>
      <w:hyperlink r:id="rId10" w:tgtFrame="_blank" w:history="1">
        <w:r w:rsidRPr="00053D2C">
          <w:rPr>
            <w:rFonts w:ascii="Times New Roman" w:eastAsia="Times New Roman" w:hAnsi="Times New Roman" w:cs="Times New Roman"/>
            <w:color w:val="0E70A4"/>
            <w:sz w:val="26"/>
            <w:szCs w:val="26"/>
          </w:rPr>
          <w:t>Nghị định 181/2025/NĐ-CP</w:t>
        </w:r>
      </w:hyperlink>
      <w:r w:rsidRPr="00053D2C">
        <w:rPr>
          <w:rFonts w:ascii="Times New Roman" w:eastAsia="Times New Roman" w:hAnsi="Times New Roman" w:cs="Times New Roman"/>
          <w:sz w:val="26"/>
          <w:szCs w:val="26"/>
        </w:rPr>
        <w:t> quy định về chứng từ thanh toán không dùng tiền mặt trong một số trường hợp đặc biệt trong đó, nêu rõ Quy định mới về điều kiện khấu trừ thuế GTGT đối với khoản trả chậm, trả góp trên 5 triệu áp dụng từ 20/6/2026, cụ thể như sau:</w:t>
      </w:r>
    </w:p>
    <w:p w14:paraId="2BE7AD5F" w14:textId="2CD4D060" w:rsidR="00897BB9" w:rsidRPr="00897BB9" w:rsidRDefault="00897BB9" w:rsidP="00897BB9">
      <w:pPr>
        <w:spacing w:line="360" w:lineRule="auto"/>
        <w:jc w:val="both"/>
        <w:rPr>
          <w:rFonts w:ascii="Times New Roman" w:hAnsi="Times New Roman" w:cs="Times New Roman"/>
          <w:b/>
          <w:bCs/>
          <w:i/>
          <w:iCs/>
          <w:sz w:val="26"/>
          <w:szCs w:val="26"/>
        </w:rPr>
      </w:pPr>
      <w:r w:rsidRPr="00897BB9">
        <w:rPr>
          <w:rFonts w:ascii="Times New Roman" w:eastAsia="Times New Roman" w:hAnsi="Times New Roman" w:cs="Times New Roman"/>
          <w:b/>
          <w:bCs/>
          <w:sz w:val="26"/>
          <w:szCs w:val="26"/>
          <w:lang w:val="vi-VN"/>
        </w:rPr>
        <w:t xml:space="preserve">1. Quy định </w:t>
      </w:r>
      <w:r>
        <w:rPr>
          <w:rStyle w:val="Emphasis"/>
          <w:rFonts w:ascii="Times New Roman" w:hAnsi="Times New Roman" w:cs="Times New Roman"/>
          <w:b/>
          <w:bCs/>
          <w:i w:val="0"/>
          <w:iCs w:val="0"/>
          <w:sz w:val="26"/>
          <w:szCs w:val="26"/>
          <w:lang w:val="vi-VN"/>
        </w:rPr>
        <w:t>c</w:t>
      </w:r>
      <w:r w:rsidRPr="00897BB9">
        <w:rPr>
          <w:rStyle w:val="Emphasis"/>
          <w:rFonts w:ascii="Times New Roman" w:hAnsi="Times New Roman" w:cs="Times New Roman"/>
          <w:b/>
          <w:bCs/>
          <w:i w:val="0"/>
          <w:iCs w:val="0"/>
          <w:sz w:val="26"/>
          <w:szCs w:val="26"/>
        </w:rPr>
        <w:t>hứng từ thanh toán không dùng tiền mặt</w:t>
      </w:r>
    </w:p>
    <w:p w14:paraId="0EBA4F87" w14:textId="77777777" w:rsidR="00897BB9" w:rsidRPr="00621330" w:rsidRDefault="00897BB9" w:rsidP="00897BB9">
      <w:pPr>
        <w:spacing w:line="360" w:lineRule="auto"/>
        <w:ind w:firstLine="720"/>
        <w:jc w:val="both"/>
        <w:rPr>
          <w:rFonts w:ascii="Times New Roman" w:hAnsi="Times New Roman" w:cs="Times New Roman"/>
          <w:sz w:val="26"/>
          <w:szCs w:val="26"/>
        </w:rPr>
      </w:pPr>
      <w:r w:rsidRPr="00621330">
        <w:rPr>
          <w:rStyle w:val="Emphasis"/>
          <w:rFonts w:ascii="Times New Roman" w:hAnsi="Times New Roman" w:cs="Times New Roman"/>
          <w:sz w:val="26"/>
          <w:szCs w:val="26"/>
        </w:rPr>
        <w:t>Cơ sở kinh doanh phải có chứng từ thanh toán không dùng tiền mặt đối với hàng hóa, dịch vụ mua vào (bao gồm cả hàng hóa nhập khẩu) từ 05 triệu đồng trở lên đã bao gồm thuế giá trị gia tăng. Trong đó:</w:t>
      </w:r>
    </w:p>
    <w:p w14:paraId="1C89AA83" w14:textId="77777777" w:rsidR="00897BB9" w:rsidRPr="00897BB9" w:rsidRDefault="00897BB9" w:rsidP="00897BB9">
      <w:pPr>
        <w:spacing w:line="360" w:lineRule="auto"/>
        <w:jc w:val="both"/>
        <w:rPr>
          <w:rFonts w:ascii="Times New Roman" w:hAnsi="Times New Roman" w:cs="Times New Roman"/>
          <w:i/>
          <w:iCs/>
          <w:sz w:val="26"/>
          <w:szCs w:val="26"/>
        </w:rPr>
      </w:pPr>
      <w:r w:rsidRPr="00897BB9">
        <w:rPr>
          <w:rStyle w:val="Emphasis"/>
          <w:rFonts w:ascii="Times New Roman" w:hAnsi="Times New Roman" w:cs="Times New Roman"/>
          <w:i w:val="0"/>
          <w:iCs w:val="0"/>
          <w:sz w:val="26"/>
          <w:szCs w:val="26"/>
        </w:rPr>
        <w:t>1.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14:paraId="685F2D78" w14:textId="77777777" w:rsidR="00897BB9" w:rsidRPr="00897BB9" w:rsidRDefault="00897BB9" w:rsidP="00897BB9">
      <w:pPr>
        <w:spacing w:line="360" w:lineRule="auto"/>
        <w:jc w:val="both"/>
        <w:rPr>
          <w:rFonts w:ascii="Times New Roman" w:hAnsi="Times New Roman" w:cs="Times New Roman"/>
          <w:i/>
          <w:iCs/>
          <w:sz w:val="26"/>
          <w:szCs w:val="26"/>
        </w:rPr>
      </w:pPr>
      <w:r w:rsidRPr="00897BB9">
        <w:rPr>
          <w:rStyle w:val="Emphasis"/>
          <w:rFonts w:ascii="Times New Roman" w:hAnsi="Times New Roman" w:cs="Times New Roman"/>
          <w:i w:val="0"/>
          <w:iCs w:val="0"/>
          <w:sz w:val="26"/>
          <w:szCs w:val="26"/>
        </w:rPr>
        <w:t xml:space="preserve">2. Một số trường hợp đặc thù theo quy định tại điểm b khoản 2 Điều 14 Luật Thuế giá trị gia tăng bao </w:t>
      </w:r>
    </w:p>
    <w:p w14:paraId="2660322E" w14:textId="77777777" w:rsidR="00897BB9" w:rsidRPr="00897BB9" w:rsidRDefault="00897BB9" w:rsidP="00897BB9">
      <w:pPr>
        <w:spacing w:line="360" w:lineRule="auto"/>
        <w:jc w:val="both"/>
        <w:rPr>
          <w:rFonts w:ascii="Times New Roman" w:hAnsi="Times New Roman" w:cs="Times New Roman"/>
          <w:i/>
          <w:iCs/>
          <w:sz w:val="26"/>
          <w:szCs w:val="26"/>
        </w:rPr>
      </w:pPr>
      <w:r w:rsidRPr="00897BB9">
        <w:rPr>
          <w:rStyle w:val="Emphasis"/>
          <w:rFonts w:ascii="Times New Roman" w:hAnsi="Times New Roman" w:cs="Times New Roman"/>
          <w:i w:val="0"/>
          <w:iCs w:val="0"/>
          <w:sz w:val="26"/>
          <w:szCs w:val="26"/>
        </w:rPr>
        <w:t>3. Trường hợp mua hàng hóa, dịch vụ của một người nộp thuế có giá trị dưới 05 triệu đồng nhưng mua nhiều lần trong cùng một ngày có tổng giá trị từ 05 triệu đồng trở lên thì chỉ được khấu trừ thuế đối với trường hợp có chứng từ thanh toán không dùng tiền mặt.</w:t>
      </w:r>
    </w:p>
    <w:p w14:paraId="5371E387" w14:textId="77777777" w:rsidR="00897BB9" w:rsidRPr="00621330" w:rsidRDefault="00897BB9" w:rsidP="00897BB9">
      <w:pPr>
        <w:pStyle w:val="NormalWeb"/>
        <w:spacing w:before="0" w:beforeAutospacing="0" w:after="0" w:afterAutospacing="0" w:line="360" w:lineRule="auto"/>
        <w:jc w:val="both"/>
        <w:rPr>
          <w:sz w:val="26"/>
          <w:szCs w:val="26"/>
        </w:rPr>
      </w:pPr>
      <w:r w:rsidRPr="00621330">
        <w:rPr>
          <w:sz w:val="26"/>
          <w:szCs w:val="26"/>
        </w:rPr>
        <w:t>Theo đó, hóa đơn dưới 05 triệu đồng thông thường không bắt buộc chuyển khoản để được khấu trừ thuế GTGT đầu vào.</w:t>
      </w:r>
    </w:p>
    <w:p w14:paraId="5332A38F" w14:textId="77777777" w:rsidR="00897BB9" w:rsidRPr="00621330" w:rsidRDefault="00897BB9" w:rsidP="00897BB9">
      <w:pPr>
        <w:pStyle w:val="NormalWeb"/>
        <w:spacing w:before="0" w:beforeAutospacing="0" w:after="0" w:afterAutospacing="0" w:line="360" w:lineRule="auto"/>
        <w:jc w:val="both"/>
        <w:rPr>
          <w:sz w:val="26"/>
          <w:szCs w:val="26"/>
        </w:rPr>
      </w:pPr>
      <w:r w:rsidRPr="00621330">
        <w:rPr>
          <w:sz w:val="26"/>
          <w:szCs w:val="26"/>
        </w:rPr>
        <w:lastRenderedPageBreak/>
        <w:t>Tuy nhiên, nếu mua nhiều hóa đơn trong cùng một ngày của cùng một nhà cung cấp mà tổng giá trị từ 05 triệu đồng trở lên thì doanh nghiệp bắt buộc phải có chứng từ thanh toán không dùng tiền mặt mới được khấu trừ thuế GTGT đầu vào.</w:t>
      </w:r>
    </w:p>
    <w:p w14:paraId="58B985E8" w14:textId="77777777" w:rsidR="00897BB9" w:rsidRPr="00621330" w:rsidRDefault="00897BB9" w:rsidP="00897BB9">
      <w:pPr>
        <w:pStyle w:val="NormalWeb"/>
        <w:spacing w:before="0" w:beforeAutospacing="0" w:after="0" w:afterAutospacing="0" w:line="360" w:lineRule="auto"/>
        <w:jc w:val="both"/>
        <w:rPr>
          <w:sz w:val="26"/>
          <w:szCs w:val="26"/>
        </w:rPr>
      </w:pPr>
      <w:r w:rsidRPr="00621330">
        <w:rPr>
          <w:sz w:val="26"/>
          <w:szCs w:val="26"/>
        </w:rPr>
        <w:t>Do đó, lưu ý trong ngày có nhiều hóa đơn dưới 5 triệu nhưng có tổng giá trị số hóa đơn trên 5 triệu thì phải có chứng từ thanh toán không dùng tiền mặt để đủ điều kiện được khấu trừ thuế GTGT đầu vào.</w:t>
      </w:r>
    </w:p>
    <w:p w14:paraId="6C778140" w14:textId="2B17B38D" w:rsidR="00053D2C" w:rsidRPr="00897BB9" w:rsidRDefault="00897BB9" w:rsidP="00897BB9">
      <w:pPr>
        <w:spacing w:line="360" w:lineRule="auto"/>
        <w:jc w:val="both"/>
        <w:rPr>
          <w:rFonts w:ascii="Times New Roman" w:eastAsia="Times New Roman" w:hAnsi="Times New Roman" w:cs="Times New Roman"/>
          <w:b/>
          <w:bCs/>
          <w:sz w:val="26"/>
          <w:szCs w:val="26"/>
          <w:lang w:val="vi-VN"/>
        </w:rPr>
      </w:pPr>
      <w:r w:rsidRPr="00897BB9">
        <w:rPr>
          <w:rFonts w:ascii="Times New Roman" w:eastAsia="Times New Roman" w:hAnsi="Times New Roman" w:cs="Times New Roman"/>
          <w:b/>
          <w:bCs/>
          <w:sz w:val="26"/>
          <w:szCs w:val="26"/>
          <w:lang w:val="vi-VN"/>
        </w:rPr>
        <w:t xml:space="preserve">2. </w:t>
      </w:r>
      <w:r w:rsidRPr="00897BB9">
        <w:rPr>
          <w:rFonts w:ascii="Times New Roman" w:eastAsia="Times New Roman" w:hAnsi="Times New Roman" w:cs="Times New Roman"/>
          <w:b/>
          <w:bCs/>
          <w:sz w:val="26"/>
          <w:szCs w:val="26"/>
          <w:lang w:val="vi-VN"/>
        </w:rPr>
        <w:t xml:space="preserve">Quy định </w:t>
      </w:r>
      <w:r>
        <w:rPr>
          <w:rStyle w:val="Emphasis"/>
          <w:rFonts w:ascii="Times New Roman" w:hAnsi="Times New Roman" w:cs="Times New Roman"/>
          <w:b/>
          <w:bCs/>
          <w:i w:val="0"/>
          <w:iCs w:val="0"/>
          <w:sz w:val="26"/>
          <w:szCs w:val="26"/>
          <w:lang w:val="vi-VN"/>
        </w:rPr>
        <w:t>c</w:t>
      </w:r>
      <w:r w:rsidRPr="00897BB9">
        <w:rPr>
          <w:rStyle w:val="Emphasis"/>
          <w:rFonts w:ascii="Times New Roman" w:hAnsi="Times New Roman" w:cs="Times New Roman"/>
          <w:b/>
          <w:bCs/>
          <w:i w:val="0"/>
          <w:iCs w:val="0"/>
          <w:sz w:val="26"/>
          <w:szCs w:val="26"/>
        </w:rPr>
        <w:t xml:space="preserve">hứng từ thanh toán </w:t>
      </w:r>
      <w:r>
        <w:rPr>
          <w:rFonts w:ascii="Times New Roman" w:eastAsia="Times New Roman" w:hAnsi="Times New Roman" w:cs="Times New Roman"/>
          <w:b/>
          <w:bCs/>
          <w:sz w:val="26"/>
          <w:szCs w:val="26"/>
          <w:lang w:val="vi-VN"/>
        </w:rPr>
        <w:t>đ</w:t>
      </w:r>
      <w:r w:rsidRPr="00897BB9">
        <w:rPr>
          <w:rFonts w:ascii="Times New Roman" w:eastAsia="Times New Roman" w:hAnsi="Times New Roman" w:cs="Times New Roman"/>
          <w:b/>
          <w:bCs/>
          <w:sz w:val="26"/>
          <w:szCs w:val="26"/>
        </w:rPr>
        <w:t>ối với hàng hóa, dịch vụ mua trả chậm, trả góp có giá trị hàng hóa, dịch vụ mua từ 05 triệu đồng trở lên</w:t>
      </w:r>
    </w:p>
    <w:p w14:paraId="356F1E2F" w14:textId="77777777" w:rsidR="00053D2C" w:rsidRPr="00053D2C" w:rsidRDefault="00053D2C" w:rsidP="00621330">
      <w:pPr>
        <w:spacing w:line="360" w:lineRule="auto"/>
        <w:ind w:firstLine="720"/>
        <w:jc w:val="both"/>
        <w:rPr>
          <w:rFonts w:ascii="Times New Roman" w:eastAsia="Times New Roman" w:hAnsi="Times New Roman" w:cs="Times New Roman"/>
          <w:sz w:val="26"/>
          <w:szCs w:val="26"/>
        </w:rPr>
      </w:pPr>
      <w:r w:rsidRPr="00053D2C">
        <w:rPr>
          <w:rFonts w:ascii="Times New Roman" w:eastAsia="Times New Roman" w:hAnsi="Times New Roman" w:cs="Times New Roman"/>
          <w:sz w:val="26"/>
          <w:szCs w:val="26"/>
        </w:rPr>
        <w:t>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w:t>
      </w:r>
    </w:p>
    <w:p w14:paraId="02E5B5F0" w14:textId="77777777" w:rsidR="00053D2C" w:rsidRPr="00053D2C" w:rsidRDefault="00053D2C" w:rsidP="00621330">
      <w:pPr>
        <w:spacing w:line="360" w:lineRule="auto"/>
        <w:jc w:val="both"/>
        <w:rPr>
          <w:rFonts w:ascii="Times New Roman" w:eastAsia="Times New Roman" w:hAnsi="Times New Roman" w:cs="Times New Roman"/>
          <w:sz w:val="26"/>
          <w:szCs w:val="26"/>
        </w:rPr>
      </w:pPr>
      <w:r w:rsidRPr="00053D2C">
        <w:rPr>
          <w:rFonts w:ascii="Times New Roman" w:eastAsia="Times New Roman" w:hAnsi="Times New Roman" w:cs="Times New Roman"/>
          <w:sz w:val="26"/>
          <w:szCs w:val="26"/>
        </w:rPr>
        <w:t>Trường hợp chưa có chứng từ thanh toán không dùng tiền mặt do chưa đến thời điểm thanh toán theo hợp đồng, phụ lục hợp đồng thì cơ sở kinh doanh vẫn được khấu trừ thuế giá trị gia tăng đầu vào. </w:t>
      </w:r>
    </w:p>
    <w:p w14:paraId="418168E4" w14:textId="77777777" w:rsidR="00053D2C" w:rsidRPr="00053D2C" w:rsidRDefault="00053D2C" w:rsidP="00621330">
      <w:pPr>
        <w:spacing w:line="360" w:lineRule="auto"/>
        <w:jc w:val="both"/>
        <w:rPr>
          <w:rFonts w:ascii="Times New Roman" w:eastAsia="Times New Roman" w:hAnsi="Times New Roman" w:cs="Times New Roman"/>
          <w:sz w:val="26"/>
          <w:szCs w:val="26"/>
        </w:rPr>
      </w:pPr>
      <w:r w:rsidRPr="00053D2C">
        <w:rPr>
          <w:rFonts w:ascii="Times New Roman" w:eastAsia="Times New Roman" w:hAnsi="Times New Roman" w:cs="Times New Roman"/>
          <w:sz w:val="26"/>
          <w:szCs w:val="26"/>
        </w:rPr>
        <w:t>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 </w:t>
      </w:r>
    </w:p>
    <w:p w14:paraId="7CB351DD" w14:textId="77777777" w:rsidR="00053D2C" w:rsidRPr="00621330" w:rsidRDefault="00053D2C" w:rsidP="00621330">
      <w:pPr>
        <w:spacing w:line="360" w:lineRule="auto"/>
        <w:jc w:val="both"/>
        <w:rPr>
          <w:rFonts w:ascii="Times New Roman" w:hAnsi="Times New Roman" w:cs="Times New Roman"/>
          <w:sz w:val="26"/>
          <w:szCs w:val="26"/>
        </w:rPr>
      </w:pPr>
    </w:p>
    <w:sectPr w:rsidR="00053D2C" w:rsidRPr="006213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666EA"/>
    <w:multiLevelType w:val="multilevel"/>
    <w:tmpl w:val="DF2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2C"/>
    <w:rsid w:val="00053D2C"/>
    <w:rsid w:val="00621330"/>
    <w:rsid w:val="00897BB9"/>
    <w:rsid w:val="00CE461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DA9EF0F"/>
  <w15:chartTrackingRefBased/>
  <w15:docId w15:val="{536E3285-A522-6344-A463-FF88904A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3D2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3D2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3D2C"/>
    <w:rPr>
      <w:rFonts w:ascii="Times New Roman" w:eastAsia="Times New Roman" w:hAnsi="Times New Roman" w:cs="Times New Roman"/>
      <w:b/>
      <w:bCs/>
      <w:sz w:val="36"/>
      <w:szCs w:val="36"/>
    </w:rPr>
  </w:style>
  <w:style w:type="character" w:styleId="Strong">
    <w:name w:val="Strong"/>
    <w:basedOn w:val="DefaultParagraphFont"/>
    <w:uiPriority w:val="22"/>
    <w:qFormat/>
    <w:rsid w:val="00053D2C"/>
    <w:rPr>
      <w:b/>
      <w:bCs/>
    </w:rPr>
  </w:style>
  <w:style w:type="character" w:styleId="Hyperlink">
    <w:name w:val="Hyperlink"/>
    <w:basedOn w:val="DefaultParagraphFont"/>
    <w:uiPriority w:val="99"/>
    <w:semiHidden/>
    <w:unhideWhenUsed/>
    <w:rsid w:val="00053D2C"/>
    <w:rPr>
      <w:color w:val="0000FF"/>
      <w:u w:val="single"/>
    </w:rPr>
  </w:style>
  <w:style w:type="paragraph" w:styleId="NormalWeb">
    <w:name w:val="Normal (Web)"/>
    <w:basedOn w:val="Normal"/>
    <w:uiPriority w:val="99"/>
    <w:semiHidden/>
    <w:unhideWhenUsed/>
    <w:rsid w:val="00053D2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53D2C"/>
  </w:style>
  <w:style w:type="character" w:customStyle="1" w:styleId="btn-info-ads">
    <w:name w:val="btn-info-ads"/>
    <w:basedOn w:val="DefaultParagraphFont"/>
    <w:rsid w:val="00053D2C"/>
  </w:style>
  <w:style w:type="character" w:styleId="Emphasis">
    <w:name w:val="Emphasis"/>
    <w:basedOn w:val="DefaultParagraphFont"/>
    <w:uiPriority w:val="20"/>
    <w:qFormat/>
    <w:rsid w:val="00053D2C"/>
    <w:rPr>
      <w:i/>
      <w:iCs/>
    </w:rPr>
  </w:style>
  <w:style w:type="paragraph" w:styleId="ListParagraph">
    <w:name w:val="List Paragraph"/>
    <w:basedOn w:val="Normal"/>
    <w:uiPriority w:val="34"/>
    <w:qFormat/>
    <w:rsid w:val="0089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3580">
      <w:bodyDiv w:val="1"/>
      <w:marLeft w:val="0"/>
      <w:marRight w:val="0"/>
      <w:marTop w:val="0"/>
      <w:marBottom w:val="0"/>
      <w:divBdr>
        <w:top w:val="none" w:sz="0" w:space="0" w:color="auto"/>
        <w:left w:val="none" w:sz="0" w:space="0" w:color="auto"/>
        <w:bottom w:val="none" w:sz="0" w:space="0" w:color="auto"/>
        <w:right w:val="none" w:sz="0" w:space="0" w:color="auto"/>
      </w:divBdr>
      <w:divsChild>
        <w:div w:id="15832985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88010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594105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27271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21995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9108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094123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670185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38643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362925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796313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15580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959043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985560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23486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5520077">
          <w:marLeft w:val="0"/>
          <w:marRight w:val="0"/>
          <w:marTop w:val="225"/>
          <w:marBottom w:val="225"/>
          <w:divBdr>
            <w:top w:val="none" w:sz="0" w:space="0" w:color="auto"/>
            <w:left w:val="none" w:sz="0" w:space="0" w:color="auto"/>
            <w:bottom w:val="none" w:sz="0" w:space="0" w:color="auto"/>
            <w:right w:val="none" w:sz="0" w:space="0" w:color="auto"/>
          </w:divBdr>
          <w:divsChild>
            <w:div w:id="1585142000">
              <w:marLeft w:val="0"/>
              <w:marRight w:val="0"/>
              <w:marTop w:val="0"/>
              <w:marBottom w:val="75"/>
              <w:divBdr>
                <w:top w:val="none" w:sz="0" w:space="0" w:color="auto"/>
                <w:left w:val="none" w:sz="0" w:space="0" w:color="auto"/>
                <w:bottom w:val="single" w:sz="6" w:space="2" w:color="EEEEEE"/>
                <w:right w:val="none" w:sz="0" w:space="0" w:color="auto"/>
              </w:divBdr>
              <w:divsChild>
                <w:div w:id="1705985421">
                  <w:marLeft w:val="0"/>
                  <w:marRight w:val="0"/>
                  <w:marTop w:val="0"/>
                  <w:marBottom w:val="0"/>
                  <w:divBdr>
                    <w:top w:val="none" w:sz="0" w:space="0" w:color="auto"/>
                    <w:left w:val="none" w:sz="0" w:space="0" w:color="auto"/>
                    <w:bottom w:val="none" w:sz="0" w:space="0" w:color="auto"/>
                    <w:right w:val="none" w:sz="0" w:space="0" w:color="auto"/>
                  </w:divBdr>
                </w:div>
                <w:div w:id="15911618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254903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69337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Child>
        </w:div>
      </w:divsChild>
    </w:div>
    <w:div w:id="1807358156">
      <w:bodyDiv w:val="1"/>
      <w:marLeft w:val="0"/>
      <w:marRight w:val="0"/>
      <w:marTop w:val="0"/>
      <w:marBottom w:val="0"/>
      <w:divBdr>
        <w:top w:val="none" w:sz="0" w:space="0" w:color="auto"/>
        <w:left w:val="none" w:sz="0" w:space="0" w:color="auto"/>
        <w:bottom w:val="none" w:sz="0" w:space="0" w:color="auto"/>
        <w:right w:val="none" w:sz="0" w:space="0" w:color="auto"/>
      </w:divBdr>
      <w:divsChild>
        <w:div w:id="594553759">
          <w:marLeft w:val="0"/>
          <w:marRight w:val="0"/>
          <w:marTop w:val="0"/>
          <w:marBottom w:val="225"/>
          <w:divBdr>
            <w:top w:val="none" w:sz="0" w:space="0" w:color="auto"/>
            <w:left w:val="none" w:sz="0" w:space="0" w:color="auto"/>
            <w:bottom w:val="none" w:sz="0" w:space="0" w:color="auto"/>
            <w:right w:val="none" w:sz="0" w:space="0" w:color="auto"/>
          </w:divBdr>
          <w:divsChild>
            <w:div w:id="745999418">
              <w:marLeft w:val="0"/>
              <w:marRight w:val="0"/>
              <w:marTop w:val="0"/>
              <w:marBottom w:val="0"/>
              <w:divBdr>
                <w:top w:val="none" w:sz="0" w:space="0" w:color="auto"/>
                <w:left w:val="none" w:sz="0" w:space="0" w:color="auto"/>
                <w:bottom w:val="none" w:sz="0" w:space="0" w:color="auto"/>
                <w:right w:val="none" w:sz="0" w:space="0" w:color="auto"/>
              </w:divBdr>
              <w:divsChild>
                <w:div w:id="310907533">
                  <w:marLeft w:val="0"/>
                  <w:marRight w:val="0"/>
                  <w:marTop w:val="0"/>
                  <w:marBottom w:val="0"/>
                  <w:divBdr>
                    <w:top w:val="none" w:sz="0" w:space="0" w:color="auto"/>
                    <w:left w:val="none" w:sz="0" w:space="0" w:color="auto"/>
                    <w:bottom w:val="none" w:sz="0" w:space="0" w:color="auto"/>
                    <w:right w:val="none" w:sz="0" w:space="0" w:color="auto"/>
                  </w:divBdr>
                  <w:divsChild>
                    <w:div w:id="1088501591">
                      <w:marLeft w:val="0"/>
                      <w:marRight w:val="0"/>
                      <w:marTop w:val="0"/>
                      <w:marBottom w:val="0"/>
                      <w:divBdr>
                        <w:top w:val="none" w:sz="0" w:space="0" w:color="auto"/>
                        <w:left w:val="none" w:sz="0" w:space="0" w:color="auto"/>
                        <w:bottom w:val="none" w:sz="0" w:space="0" w:color="auto"/>
                        <w:right w:val="none" w:sz="0" w:space="0" w:color="auto"/>
                      </w:divBdr>
                    </w:div>
                  </w:divsChild>
                </w:div>
                <w:div w:id="1646592101">
                  <w:marLeft w:val="0"/>
                  <w:marRight w:val="0"/>
                  <w:marTop w:val="0"/>
                  <w:marBottom w:val="0"/>
                  <w:divBdr>
                    <w:top w:val="none" w:sz="0" w:space="0" w:color="auto"/>
                    <w:left w:val="none" w:sz="0" w:space="0" w:color="auto"/>
                    <w:bottom w:val="none" w:sz="0" w:space="0" w:color="auto"/>
                    <w:right w:val="none" w:sz="0" w:space="0" w:color="auto"/>
                  </w:divBdr>
                  <w:divsChild>
                    <w:div w:id="1526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88183">
          <w:marLeft w:val="0"/>
          <w:marRight w:val="0"/>
          <w:marTop w:val="225"/>
          <w:marBottom w:val="225"/>
          <w:divBdr>
            <w:top w:val="none" w:sz="0" w:space="0" w:color="auto"/>
            <w:left w:val="none" w:sz="0" w:space="0" w:color="auto"/>
            <w:bottom w:val="none" w:sz="0" w:space="0" w:color="auto"/>
            <w:right w:val="none" w:sz="0" w:space="0" w:color="auto"/>
          </w:divBdr>
          <w:divsChild>
            <w:div w:id="386874921">
              <w:marLeft w:val="0"/>
              <w:marRight w:val="0"/>
              <w:marTop w:val="0"/>
              <w:marBottom w:val="75"/>
              <w:divBdr>
                <w:top w:val="none" w:sz="0" w:space="0" w:color="auto"/>
                <w:left w:val="none" w:sz="0" w:space="0" w:color="auto"/>
                <w:bottom w:val="single" w:sz="6" w:space="2" w:color="EEEEEE"/>
                <w:right w:val="none" w:sz="0" w:space="0" w:color="auto"/>
              </w:divBdr>
              <w:divsChild>
                <w:div w:id="365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44-2026-ND-CP-sua-doi-Nghi-dinh-181-2025-ND-CP-huong-dan-Luat-Thue-gia-tri-gia-tang-694808.aspx" TargetMode="External"/><Relationship Id="rId3" Type="http://schemas.openxmlformats.org/officeDocument/2006/relationships/settings" Target="settings.xml"/><Relationship Id="rId7" Type="http://schemas.openxmlformats.org/officeDocument/2006/relationships/hyperlink" Target="https://thuvienphapluat.vn/van-ban/Thue-Phi-Le-Phi/Nghi-dinh-359-2025-ND-CP-sua-doi-Nghi-dinh-181-2025-ND-CP-67968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Nghi-dinh-181-2025-ND-CP-huong-dan-Luat-Thue-gia-tri-gia-tang-646124.aspx" TargetMode="External"/><Relationship Id="rId11" Type="http://schemas.openxmlformats.org/officeDocument/2006/relationships/fontTable" Target="fontTable.xml"/><Relationship Id="rId5" Type="http://schemas.openxmlformats.org/officeDocument/2006/relationships/hyperlink" Target="https://thuvienphapluat.vn/van-ban/Thue-Phi-Le-Phi/Nghi-dinh-144-2026-ND-CP-sua-doi-Nghi-dinh-181-2025-ND-CP-huong-dan-Luat-Thue-gia-tri-gia-tang-694808.aspx" TargetMode="External"/><Relationship Id="rId10" Type="http://schemas.openxmlformats.org/officeDocument/2006/relationships/hyperlink" Target="https://thuvienphapluat.vn/van-ban/Thue-Phi-Le-Phi/Nghi-dinh-181-2025-ND-CP-huong-dan-Luat-Thue-gia-tri-gia-tang-646124.aspx" TargetMode="External"/><Relationship Id="rId4" Type="http://schemas.openxmlformats.org/officeDocument/2006/relationships/webSettings" Target="webSettings.xml"/><Relationship Id="rId9" Type="http://schemas.openxmlformats.org/officeDocument/2006/relationships/hyperlink" Target="https://thuvienphapluat.vn/van-ban/Thue-Phi-Le-Phi/Nghi-dinh-144-2026-ND-CP-sua-doi-Nghi-dinh-181-2025-ND-CP-huong-dan-Luat-Thue-gia-tri-gia-tang-69480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2026-05-13T09:25:00Z</dcterms:created>
  <dcterms:modified xsi:type="dcterms:W3CDTF">2026-05-13T09:39:00Z</dcterms:modified>
</cp:coreProperties>
</file>