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3AE72" w14:textId="6E848A4A" w:rsidR="00C06CF1" w:rsidRDefault="00C06CF1" w:rsidP="00C06CF1">
      <w:pPr>
        <w:jc w:val="both"/>
        <w:rPr>
          <w:rFonts w:ascii="Times New Roman" w:hAnsi="Times New Roman" w:cs="Times New Roman"/>
          <w:b/>
          <w:bCs/>
          <w:sz w:val="38"/>
          <w:szCs w:val="38"/>
          <w:lang w:val="vi-VN"/>
        </w:rPr>
      </w:pPr>
      <w:r w:rsidRPr="00C06CF1">
        <w:rPr>
          <w:rFonts w:ascii="Times New Roman" w:hAnsi="Times New Roman" w:cs="Times New Roman"/>
          <w:b/>
          <w:bCs/>
          <w:sz w:val="38"/>
          <w:szCs w:val="38"/>
          <w:lang w:val="vi-VN"/>
        </w:rPr>
        <w:t>L</w:t>
      </w:r>
      <w:r w:rsidRPr="00C06CF1">
        <w:rPr>
          <w:rFonts w:ascii="Times New Roman" w:hAnsi="Times New Roman" w:cs="Times New Roman"/>
          <w:b/>
          <w:bCs/>
          <w:sz w:val="38"/>
          <w:szCs w:val="38"/>
        </w:rPr>
        <w:t>ỢI ÍCH CỦA HỘ KINH DOANH KHI SỬ DỤNG HÓA ĐƠN ĐIỆN TỬ</w:t>
      </w:r>
    </w:p>
    <w:p w14:paraId="18362078" w14:textId="046BB9CA" w:rsidR="00C06CF1" w:rsidRPr="00C06CF1" w:rsidRDefault="00C06CF1" w:rsidP="00C06CF1">
      <w:pPr>
        <w:jc w:val="right"/>
        <w:rPr>
          <w:rFonts w:ascii="Times New Roman" w:hAnsi="Times New Roman" w:cs="Times New Roman"/>
          <w:b/>
          <w:bCs/>
          <w:sz w:val="38"/>
          <w:szCs w:val="38"/>
          <w:lang w:val="vi-VN"/>
        </w:rPr>
      </w:pPr>
      <w:r>
        <w:rPr>
          <w:rFonts w:ascii="Times New Roman" w:hAnsi="Times New Roman" w:cs="Times New Roman"/>
          <w:b/>
          <w:bCs/>
          <w:sz w:val="38"/>
          <w:szCs w:val="38"/>
          <w:lang w:val="vi-VN"/>
        </w:rPr>
        <w:t>Ngô Thị Kiều Trang</w:t>
      </w:r>
    </w:p>
    <w:p w14:paraId="5C27EBEE" w14:textId="33C32086" w:rsidR="00C06CF1" w:rsidRPr="00C06CF1" w:rsidRDefault="00C06CF1" w:rsidP="00C06CF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Tóm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tắt</w:t>
      </w:r>
      <w:proofErr w:type="spellEnd"/>
    </w:p>
    <w:p w14:paraId="02930339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r w:rsidRPr="00C06CF1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Việt Nam.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Bài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5CEF5B8D" w14:textId="77777777" w:rsidR="00C06CF1" w:rsidRPr="00C06CF1" w:rsidRDefault="00C06CF1" w:rsidP="00C06CF1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khóa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i/>
          <w:iCs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1614617D" w14:textId="77777777" w:rsidR="00C06CF1" w:rsidRPr="00C06CF1" w:rsidRDefault="00C06CF1" w:rsidP="00C06CF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Đặt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vấn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</w:p>
    <w:p w14:paraId="26ECB70D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Việt Nam,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623741DE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7CE6BACF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r w:rsidRPr="00C06CF1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Việt Nam,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lastRenderedPageBreak/>
        <w:t>sách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Tuy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chép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tin.</w:t>
      </w:r>
    </w:p>
    <w:p w14:paraId="3A999D3F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tiềm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ẩn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4F839B16" w14:textId="77777777" w:rsidR="00C06CF1" w:rsidRPr="00C06CF1" w:rsidRDefault="00C06CF1" w:rsidP="00C06CF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sở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</w:p>
    <w:p w14:paraId="06E18252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tin.</w:t>
      </w:r>
    </w:p>
    <w:p w14:paraId="145149C6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r w:rsidRPr="00C06CF1">
        <w:rPr>
          <w:rFonts w:ascii="Times New Roman" w:hAnsi="Times New Roman" w:cs="Times New Roman"/>
          <w:sz w:val="26"/>
          <w:szCs w:val="26"/>
        </w:rPr>
        <w:t xml:space="preserve">So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0D87FD6F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thuyết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tốc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35125042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r w:rsidRPr="00C06CF1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338E955B" w14:textId="77777777" w:rsidR="00C06CF1" w:rsidRPr="00C06CF1" w:rsidRDefault="00C06CF1" w:rsidP="00C06CF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3. Lợi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ích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tử</w:t>
      </w:r>
      <w:proofErr w:type="spellEnd"/>
    </w:p>
    <w:p w14:paraId="00049CDA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in,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4C021409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r w:rsidRPr="00C06CF1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06C789FF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lastRenderedPageBreak/>
        <w:t>thủ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3005AC1E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r w:rsidRPr="00C06CF1">
        <w:rPr>
          <w:rFonts w:ascii="Times New Roman" w:hAnsi="Times New Roman" w:cs="Times New Roman"/>
          <w:sz w:val="26"/>
          <w:szCs w:val="26"/>
        </w:rPr>
        <w:t xml:space="preserve">Thông qua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64A8C261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cậy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uy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3935E804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r w:rsidRPr="00C06CF1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6412C70E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Thông qua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3F6B499D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11F3EA99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rủi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hư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tốn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557BABE6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dừng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047E78DD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02EF75C1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Khi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lastRenderedPageBreak/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chứng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37851AD2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sang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4EE5DBDB" w14:textId="77777777" w:rsidR="00C06CF1" w:rsidRPr="00C06CF1" w:rsidRDefault="00C06CF1" w:rsidP="00C06CF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khó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khăn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giải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khi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khai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tử</w:t>
      </w:r>
      <w:proofErr w:type="spellEnd"/>
    </w:p>
    <w:p w14:paraId="63302F3B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4A90DFFF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phục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32EE1341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3655ABFE" w14:textId="77777777" w:rsidR="00C06CF1" w:rsidRPr="00C06CF1" w:rsidRDefault="00C06CF1" w:rsidP="00C06CF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C06CF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0FB3FC87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Việt Nam.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06EB84F0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26"/>
          <w:szCs w:val="26"/>
        </w:rPr>
      </w:pPr>
      <w:r w:rsidRPr="00C06CF1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. Do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00A26F1B" w14:textId="77777777" w:rsidR="00C06CF1" w:rsidRPr="00C06CF1" w:rsidRDefault="00C06CF1" w:rsidP="00C06CF1">
      <w:pPr>
        <w:jc w:val="both"/>
        <w:rPr>
          <w:rFonts w:ascii="Times New Roman" w:hAnsi="Times New Roman" w:cs="Times New Roman"/>
          <w:sz w:val="30"/>
          <w:szCs w:val="30"/>
        </w:rPr>
      </w:pPr>
      <w:r w:rsidRPr="00C06CF1">
        <w:rPr>
          <w:rFonts w:ascii="Times New Roman" w:hAnsi="Times New Roman" w:cs="Times New Roman"/>
          <w:sz w:val="30"/>
          <w:szCs w:val="30"/>
        </w:rPr>
        <w:t xml:space="preserve">Tài </w:t>
      </w:r>
      <w:proofErr w:type="spellStart"/>
      <w:r w:rsidRPr="00C06CF1">
        <w:rPr>
          <w:rFonts w:ascii="Times New Roman" w:hAnsi="Times New Roman" w:cs="Times New Roman"/>
          <w:sz w:val="30"/>
          <w:szCs w:val="30"/>
        </w:rPr>
        <w:t>liệu</w:t>
      </w:r>
      <w:proofErr w:type="spellEnd"/>
      <w:r w:rsidRPr="00C06C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30"/>
          <w:szCs w:val="30"/>
        </w:rPr>
        <w:t>tham</w:t>
      </w:r>
      <w:proofErr w:type="spellEnd"/>
      <w:r w:rsidRPr="00C06CF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30"/>
          <w:szCs w:val="30"/>
        </w:rPr>
        <w:t>khảo</w:t>
      </w:r>
      <w:proofErr w:type="spellEnd"/>
    </w:p>
    <w:p w14:paraId="728D1461" w14:textId="77777777" w:rsidR="00C06CF1" w:rsidRPr="00C06CF1" w:rsidRDefault="00C06CF1" w:rsidP="00C06CF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Quản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2953C893" w14:textId="77777777" w:rsidR="00C06CF1" w:rsidRPr="00C06CF1" w:rsidRDefault="00C06CF1" w:rsidP="00C06CF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, chứng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0E426DAC" w14:textId="77777777" w:rsidR="00C06CF1" w:rsidRPr="00C06CF1" w:rsidRDefault="00C06CF1" w:rsidP="00C06CF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6CF1">
        <w:rPr>
          <w:rFonts w:ascii="Times New Roman" w:hAnsi="Times New Roman" w:cs="Times New Roman"/>
          <w:sz w:val="26"/>
          <w:szCs w:val="26"/>
        </w:rPr>
        <w:t xml:space="preserve">Thông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257610CA" w14:textId="77777777" w:rsidR="00C06CF1" w:rsidRPr="00C06CF1" w:rsidRDefault="00C06CF1" w:rsidP="00C06CF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06CF1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Việt Nam.</w:t>
      </w:r>
    </w:p>
    <w:p w14:paraId="3D6EDCCA" w14:textId="77777777" w:rsidR="00C06CF1" w:rsidRPr="00C06CF1" w:rsidRDefault="00C06CF1" w:rsidP="00C06CF1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06CF1">
        <w:rPr>
          <w:rFonts w:ascii="Times New Roman" w:hAnsi="Times New Roman" w:cs="Times New Roman"/>
          <w:sz w:val="26"/>
          <w:szCs w:val="26"/>
        </w:rPr>
        <w:t xml:space="preserve">Các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06CF1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C06CF1">
        <w:rPr>
          <w:rFonts w:ascii="Times New Roman" w:hAnsi="Times New Roman" w:cs="Times New Roman"/>
          <w:sz w:val="26"/>
          <w:szCs w:val="26"/>
        </w:rPr>
        <w:t>.</w:t>
      </w:r>
    </w:p>
    <w:p w14:paraId="064CB98B" w14:textId="77777777" w:rsidR="00135046" w:rsidRPr="00C06CF1" w:rsidRDefault="00135046" w:rsidP="00C06CF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35046" w:rsidRPr="00C06C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FE64" w14:textId="77777777" w:rsidR="000964B2" w:rsidRDefault="000964B2" w:rsidP="00C06CF1">
      <w:pPr>
        <w:spacing w:after="0" w:line="240" w:lineRule="auto"/>
      </w:pPr>
      <w:r>
        <w:separator/>
      </w:r>
    </w:p>
  </w:endnote>
  <w:endnote w:type="continuationSeparator" w:id="0">
    <w:p w14:paraId="7F6CB8CE" w14:textId="77777777" w:rsidR="000964B2" w:rsidRDefault="000964B2" w:rsidP="00C0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431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CEE10" w14:textId="0F9D4494" w:rsidR="00C06CF1" w:rsidRDefault="00C06C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705BD" w14:textId="77777777" w:rsidR="00C06CF1" w:rsidRDefault="00C06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C050" w14:textId="77777777" w:rsidR="000964B2" w:rsidRDefault="000964B2" w:rsidP="00C06CF1">
      <w:pPr>
        <w:spacing w:after="0" w:line="240" w:lineRule="auto"/>
      </w:pPr>
      <w:r>
        <w:separator/>
      </w:r>
    </w:p>
  </w:footnote>
  <w:footnote w:type="continuationSeparator" w:id="0">
    <w:p w14:paraId="54679CB8" w14:textId="77777777" w:rsidR="000964B2" w:rsidRDefault="000964B2" w:rsidP="00C06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316"/>
    <w:multiLevelType w:val="multilevel"/>
    <w:tmpl w:val="1A58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1207B"/>
    <w:multiLevelType w:val="multilevel"/>
    <w:tmpl w:val="7844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43016"/>
    <w:multiLevelType w:val="multilevel"/>
    <w:tmpl w:val="E24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F7E43"/>
    <w:multiLevelType w:val="multilevel"/>
    <w:tmpl w:val="2B98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0554E"/>
    <w:multiLevelType w:val="multilevel"/>
    <w:tmpl w:val="97AA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419DC"/>
    <w:multiLevelType w:val="multilevel"/>
    <w:tmpl w:val="7A5E0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D24CF3"/>
    <w:multiLevelType w:val="multilevel"/>
    <w:tmpl w:val="8A72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8D4A8C"/>
    <w:multiLevelType w:val="multilevel"/>
    <w:tmpl w:val="4EFC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ED38CE"/>
    <w:multiLevelType w:val="multilevel"/>
    <w:tmpl w:val="0030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75154"/>
    <w:multiLevelType w:val="multilevel"/>
    <w:tmpl w:val="902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066946"/>
    <w:multiLevelType w:val="multilevel"/>
    <w:tmpl w:val="E01A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94E2D"/>
    <w:multiLevelType w:val="multilevel"/>
    <w:tmpl w:val="9AA8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963DE"/>
    <w:multiLevelType w:val="multilevel"/>
    <w:tmpl w:val="2A48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81FD8"/>
    <w:multiLevelType w:val="multilevel"/>
    <w:tmpl w:val="919C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54277"/>
    <w:multiLevelType w:val="multilevel"/>
    <w:tmpl w:val="0A443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537B70"/>
    <w:multiLevelType w:val="multilevel"/>
    <w:tmpl w:val="88B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E6D85"/>
    <w:multiLevelType w:val="multilevel"/>
    <w:tmpl w:val="CC1A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E69F2"/>
    <w:multiLevelType w:val="multilevel"/>
    <w:tmpl w:val="9092B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70DFE"/>
    <w:multiLevelType w:val="multilevel"/>
    <w:tmpl w:val="DD70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05706"/>
    <w:multiLevelType w:val="multilevel"/>
    <w:tmpl w:val="89447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7316C1"/>
    <w:multiLevelType w:val="multilevel"/>
    <w:tmpl w:val="1C3C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DB7F74"/>
    <w:multiLevelType w:val="multilevel"/>
    <w:tmpl w:val="C23E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1C7D7C"/>
    <w:multiLevelType w:val="multilevel"/>
    <w:tmpl w:val="BA10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F0720D"/>
    <w:multiLevelType w:val="multilevel"/>
    <w:tmpl w:val="4ADE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9373149">
    <w:abstractNumId w:val="8"/>
  </w:num>
  <w:num w:numId="2" w16cid:durableId="1581477029">
    <w:abstractNumId w:val="21"/>
  </w:num>
  <w:num w:numId="3" w16cid:durableId="1690254528">
    <w:abstractNumId w:val="11"/>
  </w:num>
  <w:num w:numId="4" w16cid:durableId="99761573">
    <w:abstractNumId w:val="18"/>
  </w:num>
  <w:num w:numId="5" w16cid:durableId="112216155">
    <w:abstractNumId w:val="5"/>
  </w:num>
  <w:num w:numId="6" w16cid:durableId="1027103412">
    <w:abstractNumId w:val="2"/>
  </w:num>
  <w:num w:numId="7" w16cid:durableId="153185447">
    <w:abstractNumId w:val="23"/>
  </w:num>
  <w:num w:numId="8" w16cid:durableId="2139948802">
    <w:abstractNumId w:val="3"/>
  </w:num>
  <w:num w:numId="9" w16cid:durableId="339427124">
    <w:abstractNumId w:val="4"/>
  </w:num>
  <w:num w:numId="10" w16cid:durableId="1343311832">
    <w:abstractNumId w:val="22"/>
  </w:num>
  <w:num w:numId="11" w16cid:durableId="107362299">
    <w:abstractNumId w:val="13"/>
  </w:num>
  <w:num w:numId="12" w16cid:durableId="430055504">
    <w:abstractNumId w:val="10"/>
  </w:num>
  <w:num w:numId="13" w16cid:durableId="1406762961">
    <w:abstractNumId w:val="16"/>
  </w:num>
  <w:num w:numId="14" w16cid:durableId="2027631769">
    <w:abstractNumId w:val="12"/>
  </w:num>
  <w:num w:numId="15" w16cid:durableId="908730552">
    <w:abstractNumId w:val="0"/>
  </w:num>
  <w:num w:numId="16" w16cid:durableId="1950509802">
    <w:abstractNumId w:val="17"/>
  </w:num>
  <w:num w:numId="17" w16cid:durableId="697464537">
    <w:abstractNumId w:val="15"/>
  </w:num>
  <w:num w:numId="18" w16cid:durableId="1268585211">
    <w:abstractNumId w:val="7"/>
  </w:num>
  <w:num w:numId="19" w16cid:durableId="1754933595">
    <w:abstractNumId w:val="14"/>
  </w:num>
  <w:num w:numId="20" w16cid:durableId="753892871">
    <w:abstractNumId w:val="9"/>
  </w:num>
  <w:num w:numId="21" w16cid:durableId="356470321">
    <w:abstractNumId w:val="6"/>
  </w:num>
  <w:num w:numId="22" w16cid:durableId="68507651">
    <w:abstractNumId w:val="1"/>
  </w:num>
  <w:num w:numId="23" w16cid:durableId="1008488326">
    <w:abstractNumId w:val="20"/>
  </w:num>
  <w:num w:numId="24" w16cid:durableId="6383456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B8"/>
    <w:rsid w:val="000964B2"/>
    <w:rsid w:val="00135046"/>
    <w:rsid w:val="00220624"/>
    <w:rsid w:val="00B460B8"/>
    <w:rsid w:val="00C06CF1"/>
    <w:rsid w:val="00D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8F2E4"/>
  <w15:chartTrackingRefBased/>
  <w15:docId w15:val="{21B18FF1-F92C-4568-BBEB-AAD0E829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0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0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0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0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0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0B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0B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0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0B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0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0B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0B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6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F1"/>
  </w:style>
  <w:style w:type="paragraph" w:styleId="Footer">
    <w:name w:val="footer"/>
    <w:basedOn w:val="Normal"/>
    <w:link w:val="FooterChar"/>
    <w:uiPriority w:val="99"/>
    <w:unhideWhenUsed/>
    <w:rsid w:val="00C06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1329</Words>
  <Characters>7577</Characters>
  <Application>Microsoft Office Word</Application>
  <DocSecurity>0</DocSecurity>
  <Lines>63</Lines>
  <Paragraphs>17</Paragraphs>
  <ScaleCrop>false</ScaleCrop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2</cp:revision>
  <dcterms:created xsi:type="dcterms:W3CDTF">2026-06-15T14:30:00Z</dcterms:created>
  <dcterms:modified xsi:type="dcterms:W3CDTF">2026-06-15T14:39:00Z</dcterms:modified>
</cp:coreProperties>
</file>