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AC2" w14:textId="77777777" w:rsidR="00530A64" w:rsidRPr="00882E3C" w:rsidRDefault="00530A64" w:rsidP="00882E3C">
      <w:pPr>
        <w:spacing w:after="240"/>
        <w:jc w:val="both"/>
        <w:outlineLvl w:val="0"/>
        <w:rPr>
          <w:rFonts w:ascii="Times New Roman" w:eastAsia="Times New Roman" w:hAnsi="Times New Roman" w:cs="Times New Roman"/>
          <w:b/>
          <w:bCs/>
          <w:kern w:val="36"/>
          <w:sz w:val="36"/>
          <w:szCs w:val="36"/>
          <w14:ligatures w14:val="none"/>
        </w:rPr>
      </w:pPr>
      <w:r w:rsidRPr="00882E3C">
        <w:rPr>
          <w:rFonts w:ascii="Times New Roman" w:eastAsia="Times New Roman" w:hAnsi="Times New Roman" w:cs="Times New Roman"/>
          <w:b/>
          <w:bCs/>
          <w:kern w:val="36"/>
          <w:sz w:val="36"/>
          <w:szCs w:val="36"/>
          <w14:ligatures w14:val="none"/>
        </w:rPr>
        <w:t>ĐIỂM</w:t>
      </w:r>
      <w:r w:rsidRPr="00882E3C">
        <w:rPr>
          <w:rFonts w:ascii="Times New Roman" w:eastAsia="Times New Roman" w:hAnsi="Times New Roman" w:cs="Times New Roman"/>
          <w:b/>
          <w:bCs/>
          <w:kern w:val="36"/>
          <w:sz w:val="36"/>
          <w:szCs w:val="36"/>
          <w:lang w:val="vi-VN"/>
          <w14:ligatures w14:val="none"/>
        </w:rPr>
        <w:t xml:space="preserve"> MỚI CỦA LUẬT SỐ 09/2026/QH16 VỀ THUẾ TNCN, GTGT, TNDN</w:t>
      </w:r>
    </w:p>
    <w:p w14:paraId="47D88178" w14:textId="77777777" w:rsidR="00530A64" w:rsidRPr="00882E3C" w:rsidRDefault="00530A64" w:rsidP="00882E3C">
      <w:pPr>
        <w:jc w:val="both"/>
        <w:rPr>
          <w:rFonts w:ascii="Times New Roman" w:eastAsia="Times New Roman" w:hAnsi="Times New Roman" w:cs="Times New Roman"/>
          <w:b/>
          <w:bCs/>
          <w:color w:val="222222"/>
          <w:kern w:val="0"/>
          <w:sz w:val="26"/>
          <w:szCs w:val="26"/>
          <w14:ligatures w14:val="none"/>
        </w:rPr>
      </w:pPr>
      <w:r w:rsidRPr="00882E3C">
        <w:rPr>
          <w:rFonts w:ascii="Times New Roman" w:eastAsia="Times New Roman" w:hAnsi="Times New Roman" w:cs="Times New Roman"/>
          <w:b/>
          <w:bCs/>
          <w:color w:val="222222"/>
          <w:kern w:val="0"/>
          <w:sz w:val="26"/>
          <w:szCs w:val="26"/>
          <w14:ligatures w14:val="none"/>
        </w:rPr>
        <w:t>Luật số 09/2026/QH16 của Quốc hội sửa đổi, bổ sung một số điều của Luật Thuế thu nhập cá nhân (TNCN), Luật Thuế giá trị gia tăng (GTGT), Luật Thuế thu nhập doanh nghiệp (TNDN) và Luật Thuế tiêu thụ đặc biệt có nhiều điểm mới doanh nghiệp cần chú ý.</w:t>
      </w:r>
    </w:p>
    <w:p w14:paraId="57EBACE3" w14:textId="77777777" w:rsidR="00530A64" w:rsidRPr="00882E3C" w:rsidRDefault="00530A64" w:rsidP="00882E3C">
      <w:pPr>
        <w:spacing w:before="180" w:after="180"/>
        <w:jc w:val="both"/>
        <w:outlineLvl w:val="1"/>
        <w:rPr>
          <w:rFonts w:ascii="Times New Roman" w:eastAsia="Times New Roman" w:hAnsi="Times New Roman" w:cs="Times New Roman"/>
          <w:b/>
          <w:bCs/>
          <w:color w:val="222222"/>
          <w:kern w:val="0"/>
          <w:sz w:val="33"/>
          <w:szCs w:val="33"/>
          <w14:ligatures w14:val="none"/>
        </w:rPr>
      </w:pPr>
      <w:r w:rsidRPr="00882E3C">
        <w:rPr>
          <w:rFonts w:ascii="Times New Roman" w:eastAsia="Times New Roman" w:hAnsi="Times New Roman" w:cs="Times New Roman"/>
          <w:b/>
          <w:bCs/>
          <w:color w:val="222222"/>
          <w:kern w:val="0"/>
          <w:sz w:val="33"/>
          <w:szCs w:val="33"/>
          <w14:ligatures w14:val="none"/>
        </w:rPr>
        <w:t>1. Thay đổi ngưỡng doanh thu chịu thuế TNCN, GTGT</w:t>
      </w:r>
    </w:p>
    <w:p w14:paraId="07546792"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b/>
          <w:bCs/>
          <w:color w:val="222222"/>
          <w:kern w:val="0"/>
          <w:sz w:val="26"/>
          <w:szCs w:val="26"/>
          <w14:ligatures w14:val="none"/>
        </w:rPr>
        <w:t>Trước đây:</w:t>
      </w:r>
    </w:p>
    <w:p w14:paraId="4C15FD1E"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Khoản 1 Điều 7</w:t>
      </w:r>
      <w:r w:rsidRPr="00882E3C">
        <w:rPr>
          <w:rFonts w:ascii="Times New Roman" w:eastAsia="Times New Roman" w:hAnsi="Times New Roman" w:cs="Times New Roman"/>
          <w:color w:val="222222"/>
          <w:kern w:val="0"/>
          <w:sz w:val="26"/>
          <w:szCs w:val="26"/>
          <w:lang w:val="vi-VN"/>
          <w14:ligatures w14:val="none"/>
        </w:rPr>
        <w:t xml:space="preserve"> Luật thuế TNCN 2025</w:t>
      </w:r>
      <w:r w:rsidRPr="00882E3C">
        <w:rPr>
          <w:rFonts w:ascii="Times New Roman" w:eastAsia="Times New Roman" w:hAnsi="Times New Roman" w:cs="Times New Roman"/>
          <w:color w:val="222222"/>
          <w:kern w:val="0"/>
          <w:sz w:val="26"/>
          <w:szCs w:val="26"/>
          <w14:ligatures w14:val="none"/>
        </w:rPr>
        <w:t> quy định: Cá nhân cư trú có hoạt động sản xuất, kinh doanh có mức doanh thu năm từ 500 triệu đồng trở xuống không phải nộp thuế.</w:t>
      </w:r>
    </w:p>
    <w:p w14:paraId="029C40C4"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Đồng thời, khoản 25 Điều 5 Luật</w:t>
      </w:r>
      <w:r w:rsidRPr="00882E3C">
        <w:rPr>
          <w:rFonts w:ascii="Times New Roman" w:eastAsia="Times New Roman" w:hAnsi="Times New Roman" w:cs="Times New Roman"/>
          <w:color w:val="222222"/>
          <w:kern w:val="0"/>
          <w:sz w:val="26"/>
          <w:szCs w:val="26"/>
          <w:lang w:val="vi-VN"/>
          <w14:ligatures w14:val="none"/>
        </w:rPr>
        <w:t xml:space="preserve"> thuế GTGT 2024</w:t>
      </w:r>
      <w:r w:rsidRPr="00882E3C">
        <w:rPr>
          <w:rFonts w:ascii="Times New Roman" w:eastAsia="Times New Roman" w:hAnsi="Times New Roman" w:cs="Times New Roman"/>
          <w:color w:val="222222"/>
          <w:kern w:val="0"/>
          <w:sz w:val="26"/>
          <w:szCs w:val="26"/>
          <w14:ligatures w14:val="none"/>
        </w:rPr>
        <w:t xml:space="preserve"> được sửa đổi, bổ sung bởi</w:t>
      </w:r>
      <w:r w:rsidRPr="00882E3C">
        <w:rPr>
          <w:rFonts w:ascii="Times New Roman" w:eastAsia="Times New Roman" w:hAnsi="Times New Roman" w:cs="Times New Roman"/>
          <w:color w:val="222222"/>
          <w:kern w:val="0"/>
          <w:sz w:val="26"/>
          <w:szCs w:val="26"/>
          <w:lang w:val="vi-VN"/>
          <w14:ligatures w14:val="none"/>
        </w:rPr>
        <w:t xml:space="preserve"> Luật số 149/2025/QH15</w:t>
      </w:r>
      <w:r w:rsidRPr="00882E3C">
        <w:rPr>
          <w:rFonts w:ascii="Times New Roman" w:eastAsia="Times New Roman" w:hAnsi="Times New Roman" w:cs="Times New Roman"/>
          <w:color w:val="000000" w:themeColor="text1"/>
          <w:kern w:val="0"/>
          <w:sz w:val="26"/>
          <w:szCs w:val="26"/>
          <w14:ligatures w14:val="none"/>
        </w:rPr>
        <w:t> </w:t>
      </w:r>
      <w:r w:rsidRPr="00882E3C">
        <w:rPr>
          <w:rFonts w:ascii="Times New Roman" w:eastAsia="Times New Roman" w:hAnsi="Times New Roman" w:cs="Times New Roman"/>
          <w:color w:val="222222"/>
          <w:kern w:val="0"/>
          <w:sz w:val="26"/>
          <w:szCs w:val="26"/>
          <w14:ligatures w14:val="none"/>
        </w:rPr>
        <w:t>cũng quy định: Hàng hóa, dịch vụ của hộ, cá nhân sản xuất, kinh doanh có mức doanh thu năm từ 500 triệu đồng trở xuống thuộc đối tượng không chịu thuế GTGT.</w:t>
      </w:r>
    </w:p>
    <w:p w14:paraId="3F6D6303"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b/>
          <w:bCs/>
          <w:color w:val="222222"/>
          <w:kern w:val="0"/>
          <w:sz w:val="26"/>
          <w:szCs w:val="26"/>
          <w14:ligatures w14:val="none"/>
        </w:rPr>
        <w:t>Theo quy định mới</w:t>
      </w:r>
    </w:p>
    <w:p w14:paraId="627C52B1"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Điều 1, Điều 2</w:t>
      </w:r>
      <w:r w:rsidRPr="00882E3C">
        <w:rPr>
          <w:rFonts w:ascii="Times New Roman" w:eastAsia="Times New Roman" w:hAnsi="Times New Roman" w:cs="Times New Roman"/>
          <w:color w:val="222222"/>
          <w:kern w:val="0"/>
          <w:sz w:val="26"/>
          <w:szCs w:val="26"/>
          <w:lang w:val="vi-VN"/>
          <w14:ligatures w14:val="none"/>
        </w:rPr>
        <w:t xml:space="preserve"> Luật số 09/2026/QH16 </w:t>
      </w:r>
      <w:r w:rsidRPr="00882E3C">
        <w:rPr>
          <w:rFonts w:ascii="Times New Roman" w:eastAsia="Times New Roman" w:hAnsi="Times New Roman" w:cs="Times New Roman"/>
          <w:b/>
          <w:bCs/>
          <w:color w:val="222222"/>
          <w:kern w:val="0"/>
          <w:sz w:val="26"/>
          <w:szCs w:val="26"/>
          <w14:ligatures w14:val="none"/>
        </w:rPr>
        <w:t>bãi bỏ ngưỡng doanh thu 500 triệu đồng chịu thuế TNCN, GTGT, thay bằng mức quy định của Chính phủ</w:t>
      </w:r>
      <w:r w:rsidRPr="00882E3C">
        <w:rPr>
          <w:rFonts w:ascii="Times New Roman" w:eastAsia="Times New Roman" w:hAnsi="Times New Roman" w:cs="Times New Roman"/>
          <w:color w:val="222222"/>
          <w:kern w:val="0"/>
          <w:sz w:val="26"/>
          <w:szCs w:val="26"/>
          <w14:ligatures w14:val="none"/>
        </w:rPr>
        <w:t>, có hiệu lực thi hành từ ngày 01/01/2026. Cụ thể:</w:t>
      </w:r>
    </w:p>
    <w:p w14:paraId="567D30A8"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lang w:val="vi-VN"/>
          <w14:ligatures w14:val="none"/>
        </w:rPr>
      </w:pPr>
      <w:r w:rsidRPr="00882E3C">
        <w:rPr>
          <w:rFonts w:ascii="Times New Roman" w:eastAsia="Times New Roman" w:hAnsi="Times New Roman" w:cs="Times New Roman"/>
          <w:color w:val="222222"/>
          <w:kern w:val="0"/>
          <w:sz w:val="26"/>
          <w:szCs w:val="26"/>
          <w14:ligatures w14:val="none"/>
        </w:rPr>
        <w:t>Điều 1. Sửa đổi, bổ sung khoản 1 Điều 7 của</w:t>
      </w:r>
      <w:r w:rsidRPr="00882E3C">
        <w:rPr>
          <w:rFonts w:ascii="Times New Roman" w:eastAsia="Times New Roman" w:hAnsi="Times New Roman" w:cs="Times New Roman"/>
          <w:color w:val="222222"/>
          <w:kern w:val="0"/>
          <w:sz w:val="26"/>
          <w:szCs w:val="26"/>
          <w:lang w:val="vi-VN"/>
          <w14:ligatures w14:val="none"/>
        </w:rPr>
        <w:t xml:space="preserve"> Luật thuế TNCN</w:t>
      </w:r>
    </w:p>
    <w:p w14:paraId="1BC08D80"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“1. Cá nhân cư trú có hoạt động sản xuất, kinh doanh có doanh thu năm từ </w:t>
      </w:r>
      <w:r w:rsidRPr="00882E3C">
        <w:rPr>
          <w:rFonts w:ascii="Times New Roman" w:eastAsia="Times New Roman" w:hAnsi="Times New Roman" w:cs="Times New Roman"/>
          <w:b/>
          <w:bCs/>
          <w:color w:val="222222"/>
          <w:kern w:val="0"/>
          <w:sz w:val="26"/>
          <w:szCs w:val="26"/>
          <w14:ligatures w14:val="none"/>
        </w:rPr>
        <w:t>mức quy định của Chính phủ</w:t>
      </w:r>
      <w:r w:rsidRPr="00882E3C">
        <w:rPr>
          <w:rFonts w:ascii="Times New Roman" w:eastAsia="Times New Roman" w:hAnsi="Times New Roman" w:cs="Times New Roman"/>
          <w:color w:val="222222"/>
          <w:kern w:val="0"/>
          <w:sz w:val="26"/>
          <w:szCs w:val="26"/>
          <w14:ligatures w14:val="none"/>
        </w:rPr>
        <w:t> trở xuống không phải nộp thuế thu nhập cá nhân. Căn cứ các chỉ số kinh tế vĩ mô, khả năng cân đối ngân sách, Chính phủ quy định mức doanh thu năm phù hợp với bối cảnh kinh tế - xã hội trong từng thời kỳ.”.</w:t>
      </w:r>
    </w:p>
    <w:p w14:paraId="450133A1"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Điều 2. Sửa đổi, bổ sung khoản 25 Điều 5 của Luật</w:t>
      </w:r>
      <w:r w:rsidRPr="00882E3C">
        <w:rPr>
          <w:rFonts w:ascii="Times New Roman" w:eastAsia="Times New Roman" w:hAnsi="Times New Roman" w:cs="Times New Roman"/>
          <w:color w:val="222222"/>
          <w:kern w:val="0"/>
          <w:sz w:val="26"/>
          <w:szCs w:val="26"/>
          <w:lang w:val="vi-VN"/>
          <w14:ligatures w14:val="none"/>
        </w:rPr>
        <w:t xml:space="preserve"> Thuế GTGT</w:t>
      </w:r>
      <w:r w:rsidRPr="00882E3C">
        <w:rPr>
          <w:rFonts w:ascii="Times New Roman" w:eastAsia="Times New Roman" w:hAnsi="Times New Roman" w:cs="Times New Roman"/>
          <w:color w:val="222222"/>
          <w:kern w:val="0"/>
          <w:sz w:val="26"/>
          <w:szCs w:val="26"/>
          <w14:ligatures w14:val="none"/>
        </w:rPr>
        <w:t xml:space="preserve"> về đối tượng không chịu thuế:</w:t>
      </w:r>
    </w:p>
    <w:p w14:paraId="5A266FF1"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“25. Hàng hóa, dịch vụ của hộ, cá nhân sản xuất, kinh doanh có doanh thu năm từ </w:t>
      </w:r>
      <w:r w:rsidRPr="00882E3C">
        <w:rPr>
          <w:rFonts w:ascii="Times New Roman" w:eastAsia="Times New Roman" w:hAnsi="Times New Roman" w:cs="Times New Roman"/>
          <w:b/>
          <w:bCs/>
          <w:color w:val="222222"/>
          <w:kern w:val="0"/>
          <w:sz w:val="26"/>
          <w:szCs w:val="26"/>
          <w14:ligatures w14:val="none"/>
        </w:rPr>
        <w:t>mức quy định của Chính phủ</w:t>
      </w:r>
      <w:r w:rsidRPr="00882E3C">
        <w:rPr>
          <w:rFonts w:ascii="Times New Roman" w:eastAsia="Times New Roman" w:hAnsi="Times New Roman" w:cs="Times New Roman"/>
          <w:color w:val="222222"/>
          <w:kern w:val="0"/>
          <w:sz w:val="26"/>
          <w:szCs w:val="26"/>
          <w14:ligatures w14:val="none"/>
        </w:rPr>
        <w:t> trở xuống; tài sản của tổ chức, cá nhân không kinh doanh, không phải là người nộp thuế giá trị gia tăng bán ra; hàng dự trữ quốc gia do cơ quan dự trữ quốc gia bán ra; các khoản thu phí, lệ phí theo quy định của pháp luật về phí và lệ phí. Căn cứ các chỉ số kinh tế vĩ mô, khả năng cân đối ngân sách; Chính phủ quy định mức doanh thu năm tại khoản này phù hợp với bối cảnh kinh tế - xã hội trong từng thời kỳ.”.</w:t>
      </w:r>
    </w:p>
    <w:p w14:paraId="0FA16332"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Tại Nghị</w:t>
      </w:r>
      <w:r w:rsidRPr="00882E3C">
        <w:rPr>
          <w:rFonts w:ascii="Times New Roman" w:eastAsia="Times New Roman" w:hAnsi="Times New Roman" w:cs="Times New Roman"/>
          <w:color w:val="222222"/>
          <w:kern w:val="0"/>
          <w:sz w:val="26"/>
          <w:szCs w:val="26"/>
          <w:lang w:val="vi-VN"/>
          <w14:ligatures w14:val="none"/>
        </w:rPr>
        <w:t xml:space="preserve"> định 141/2026/NĐ-CP</w:t>
      </w:r>
      <w:r w:rsidRPr="00882E3C">
        <w:rPr>
          <w:rFonts w:ascii="Times New Roman" w:eastAsia="Times New Roman" w:hAnsi="Times New Roman" w:cs="Times New Roman"/>
          <w:color w:val="222222"/>
          <w:kern w:val="0"/>
          <w:sz w:val="26"/>
          <w:szCs w:val="26"/>
          <w14:ligatures w14:val="none"/>
        </w:rPr>
        <w:t xml:space="preserve"> Chính phủ cũng đã sửa đổi đồng loạt tại nhiều điều của</w:t>
      </w:r>
      <w:r w:rsidRPr="00882E3C">
        <w:rPr>
          <w:rFonts w:ascii="Times New Roman" w:eastAsia="Times New Roman" w:hAnsi="Times New Roman" w:cs="Times New Roman"/>
          <w:color w:val="222222"/>
          <w:kern w:val="0"/>
          <w:sz w:val="26"/>
          <w:szCs w:val="26"/>
          <w:lang w:val="vi-VN"/>
          <w14:ligatures w14:val="none"/>
        </w:rPr>
        <w:t xml:space="preserve"> </w:t>
      </w:r>
      <w:r w:rsidRPr="00882E3C">
        <w:rPr>
          <w:rFonts w:ascii="Times New Roman" w:eastAsia="Times New Roman" w:hAnsi="Times New Roman" w:cs="Times New Roman"/>
          <w:color w:val="222222"/>
          <w:kern w:val="0"/>
          <w:sz w:val="26"/>
          <w:szCs w:val="26"/>
          <w14:ligatures w14:val="none"/>
        </w:rPr>
        <w:t>Nghị</w:t>
      </w:r>
      <w:r w:rsidRPr="00882E3C">
        <w:rPr>
          <w:rFonts w:ascii="Times New Roman" w:eastAsia="Times New Roman" w:hAnsi="Times New Roman" w:cs="Times New Roman"/>
          <w:color w:val="222222"/>
          <w:kern w:val="0"/>
          <w:sz w:val="26"/>
          <w:szCs w:val="26"/>
          <w:lang w:val="vi-VN"/>
          <w14:ligatures w14:val="none"/>
        </w:rPr>
        <w:t xml:space="preserve"> định 68/2026/NĐ-CP</w:t>
      </w:r>
      <w:r w:rsidRPr="00882E3C">
        <w:rPr>
          <w:rFonts w:ascii="Times New Roman" w:eastAsia="Times New Roman" w:hAnsi="Times New Roman" w:cs="Times New Roman"/>
          <w:color w:val="222222"/>
          <w:kern w:val="0"/>
          <w:sz w:val="26"/>
          <w:szCs w:val="26"/>
          <w14:ligatures w14:val="none"/>
        </w:rPr>
        <w:t xml:space="preserve"> về ngưỡng doanh thu chịu thuế TNCN, GTGT của hộ, cá nhân kinh doanh. Theo đó:</w:t>
      </w:r>
    </w:p>
    <w:p w14:paraId="3D672532"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lastRenderedPageBreak/>
        <w:t>- Hộ kinh doanh, cá nhân kinh doanh có hoạt động sản xuất, kinh doanh có mức doanh thu năm từ 01 tỷ đồng trở xuống thuộc đối tượng không chịu thuế GTGT.</w:t>
      </w:r>
    </w:p>
    <w:p w14:paraId="390AB333"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 Hộ kinh doanh, cá nhân kinh doanh có hoạt động sản xuất, kinh doanh có mức doanh thu năm trên 01 tỷ đồng thuộc đối tượng chịu thuế GTGT và áp dụng phương pháp tính trực tiếp theo doanh thu bằng tỷ lệ % nhân (x) doanh thu. </w:t>
      </w:r>
    </w:p>
    <w:p w14:paraId="6A8982AB"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 Cá nhân cư trú có hoạt động sản xuất, kinh doanh, bao gồm cả cá nhân đăng ký thành lập hộ kinh doanh hoặc người được các thành viên hộ gia đình ủy quyền làm người đại diện hộ kinh doanh có mức doanh thu năm từ 01 tỷ đồng trở xuống không phải nộp thuế TNCN.</w:t>
      </w:r>
    </w:p>
    <w:p w14:paraId="3866BD7A" w14:textId="77777777" w:rsidR="00530A64" w:rsidRPr="00882E3C" w:rsidRDefault="00530A64" w:rsidP="00882E3C">
      <w:pPr>
        <w:spacing w:before="180" w:after="180"/>
        <w:jc w:val="both"/>
        <w:outlineLvl w:val="1"/>
        <w:rPr>
          <w:rFonts w:ascii="Times New Roman" w:eastAsia="Times New Roman" w:hAnsi="Times New Roman" w:cs="Times New Roman"/>
          <w:b/>
          <w:bCs/>
          <w:color w:val="222222"/>
          <w:kern w:val="0"/>
          <w:sz w:val="33"/>
          <w:szCs w:val="33"/>
          <w14:ligatures w14:val="none"/>
        </w:rPr>
      </w:pPr>
      <w:r w:rsidRPr="00882E3C">
        <w:rPr>
          <w:rFonts w:ascii="Times New Roman" w:eastAsia="Times New Roman" w:hAnsi="Times New Roman" w:cs="Times New Roman"/>
          <w:b/>
          <w:bCs/>
          <w:color w:val="222222"/>
          <w:kern w:val="0"/>
          <w:sz w:val="33"/>
          <w:szCs w:val="33"/>
          <w14:ligatures w14:val="none"/>
        </w:rPr>
        <w:t>2. Bổ sung trường hợp được miễn thuế TNDN</w:t>
      </w:r>
    </w:p>
    <w:p w14:paraId="587FC59D"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Điều 3 Luật số 09/2026/QH16 bổ sung khoản 14a vào sau khoản 14 Điều 4 của Luật</w:t>
      </w:r>
      <w:r w:rsidRPr="00882E3C">
        <w:rPr>
          <w:rFonts w:ascii="Times New Roman" w:eastAsia="Times New Roman" w:hAnsi="Times New Roman" w:cs="Times New Roman"/>
          <w:color w:val="222222"/>
          <w:kern w:val="0"/>
          <w:sz w:val="26"/>
          <w:szCs w:val="26"/>
          <w:lang w:val="vi-VN"/>
          <w14:ligatures w14:val="none"/>
        </w:rPr>
        <w:t xml:space="preserve"> Thuế TNDN</w:t>
      </w:r>
      <w:r w:rsidRPr="00882E3C">
        <w:rPr>
          <w:rFonts w:ascii="Times New Roman" w:eastAsia="Times New Roman" w:hAnsi="Times New Roman" w:cs="Times New Roman"/>
          <w:color w:val="222222"/>
          <w:kern w:val="0"/>
          <w:sz w:val="26"/>
          <w:szCs w:val="26"/>
          <w14:ligatures w14:val="none"/>
        </w:rPr>
        <w:t xml:space="preserve"> về thu nhập được miễn thuế, có hiệu lực thi hành từ ngày 01/01/2026 như sau:</w:t>
      </w:r>
    </w:p>
    <w:p w14:paraId="38CCFF23"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“14a. Thu nhập của doanh nghiệp, tổ chức được thành lập theo quy định của pháp luật Việt Nam có tổng doanh thu năm từ mức quy định của Chính phủ trở xuống được miễn thuế thu nhập doanh nghiệp. Căn cứ các chỉ số kinh tế vĩ mô, khả năng cân đối ngân sách, Chính phủ quy định mức tổng doanh thu năm phù hợp với bối cảnh kinh tế - xã hội trong từng thời kỳ.”.</w:t>
      </w:r>
    </w:p>
    <w:p w14:paraId="2B64B928"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Như vậy, Luật mới đã </w:t>
      </w:r>
      <w:r w:rsidRPr="00882E3C">
        <w:rPr>
          <w:rFonts w:ascii="Times New Roman" w:eastAsia="Times New Roman" w:hAnsi="Times New Roman" w:cs="Times New Roman"/>
          <w:b/>
          <w:bCs/>
          <w:color w:val="222222"/>
          <w:kern w:val="0"/>
          <w:sz w:val="26"/>
          <w:szCs w:val="26"/>
          <w14:ligatures w14:val="none"/>
        </w:rPr>
        <w:t>cho phép Chính phủ quy định mức doanh thu được miễn thuế TNDN.</w:t>
      </w:r>
    </w:p>
    <w:p w14:paraId="52200C65"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Hiện nay, Điều 2 Nghị định 141/2026/NĐ-CP sửa đổi Điều 4 Nghị</w:t>
      </w:r>
      <w:r w:rsidRPr="00882E3C">
        <w:rPr>
          <w:rFonts w:ascii="Times New Roman" w:eastAsia="Times New Roman" w:hAnsi="Times New Roman" w:cs="Times New Roman"/>
          <w:color w:val="222222"/>
          <w:kern w:val="0"/>
          <w:sz w:val="26"/>
          <w:szCs w:val="26"/>
          <w:lang w:val="vi-VN"/>
          <w14:ligatures w14:val="none"/>
        </w:rPr>
        <w:t xml:space="preserve"> định 320/2025/NĐ-CP</w:t>
      </w:r>
      <w:r w:rsidRPr="00882E3C">
        <w:rPr>
          <w:rFonts w:ascii="Times New Roman" w:eastAsia="Times New Roman" w:hAnsi="Times New Roman" w:cs="Times New Roman"/>
          <w:color w:val="222222"/>
          <w:kern w:val="0"/>
          <w:sz w:val="26"/>
          <w:szCs w:val="26"/>
          <w14:ligatures w14:val="none"/>
        </w:rPr>
        <w:t xml:space="preserve"> có quy định về thu nhập miễn thuế TNDN nghiệp bao gồm: Thu nhập của doanh nghiệp, tổ chức được thành lập theo quy định của pháp luật Việt Nam có tổng doanh thu năm từ 01 tỷ đồng trở xuống.</w:t>
      </w:r>
    </w:p>
    <w:p w14:paraId="328868DE" w14:textId="77777777" w:rsidR="00530A64" w:rsidRPr="00882E3C" w:rsidRDefault="00530A64" w:rsidP="00882E3C">
      <w:pPr>
        <w:spacing w:before="180" w:after="180"/>
        <w:jc w:val="both"/>
        <w:outlineLvl w:val="1"/>
        <w:rPr>
          <w:rFonts w:ascii="Times New Roman" w:eastAsia="Times New Roman" w:hAnsi="Times New Roman" w:cs="Times New Roman"/>
          <w:b/>
          <w:bCs/>
          <w:color w:val="222222"/>
          <w:kern w:val="0"/>
          <w:sz w:val="33"/>
          <w:szCs w:val="33"/>
          <w14:ligatures w14:val="none"/>
        </w:rPr>
      </w:pPr>
      <w:r w:rsidRPr="00882E3C">
        <w:rPr>
          <w:rFonts w:ascii="Times New Roman" w:eastAsia="Times New Roman" w:hAnsi="Times New Roman" w:cs="Times New Roman"/>
          <w:b/>
          <w:bCs/>
          <w:color w:val="222222"/>
          <w:kern w:val="0"/>
          <w:sz w:val="33"/>
          <w:szCs w:val="33"/>
          <w14:ligatures w14:val="none"/>
        </w:rPr>
        <w:t>3. Gia hạn ưu đãi thuế tiêu thụ đặc biệt với xe ô tô điện</w:t>
      </w:r>
    </w:p>
    <w:p w14:paraId="362BCEE3" w14:textId="77777777" w:rsidR="00530A64" w:rsidRPr="00882E3C" w:rsidRDefault="00530A64" w:rsidP="00882E3C">
      <w:pPr>
        <w:spacing w:before="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Điều 4 Luật số 09/2026/QH16 sửa đổi, bổ sung quy định về xe có gắn động cơ dưới 24 chỗ chạy bằng pin tại điểm g mục 4 phần I của Biểu thuế tiêu thụ đặc biệt quy định tại khoản 1 Điều 8 của Luật</w:t>
      </w:r>
      <w:r w:rsidRPr="00882E3C">
        <w:rPr>
          <w:rFonts w:ascii="Times New Roman" w:eastAsia="Times New Roman" w:hAnsi="Times New Roman" w:cs="Times New Roman"/>
          <w:color w:val="222222"/>
          <w:kern w:val="0"/>
          <w:sz w:val="26"/>
          <w:szCs w:val="26"/>
          <w:lang w:val="vi-VN"/>
          <w14:ligatures w14:val="none"/>
        </w:rPr>
        <w:t xml:space="preserve"> thuế tiêu thụ đặc biệt</w:t>
      </w:r>
      <w:r w:rsidRPr="00882E3C">
        <w:rPr>
          <w:rFonts w:ascii="Times New Roman" w:eastAsia="Times New Roman" w:hAnsi="Times New Roman" w:cs="Times New Roman"/>
          <w:color w:val="222222"/>
          <w:kern w:val="0"/>
          <w:sz w:val="26"/>
          <w:szCs w:val="26"/>
          <w14:ligatures w14:val="none"/>
        </w:rPr>
        <w:t xml:space="preserve"> như sau:</w:t>
      </w:r>
    </w:p>
    <w:p w14:paraId="49ACA3D2" w14:textId="77777777" w:rsidR="00530A64" w:rsidRPr="00882E3C" w:rsidRDefault="00530A64" w:rsidP="00882E3C">
      <w:pPr>
        <w:spacing w:before="180"/>
        <w:jc w:val="both"/>
        <w:rPr>
          <w:rFonts w:ascii="Times New Roman" w:eastAsia="Times New Roman" w:hAnsi="Times New Roman" w:cs="Times New Roman"/>
          <w:color w:val="222222"/>
          <w:kern w:val="0"/>
          <w:sz w:val="26"/>
          <w:szCs w:val="26"/>
          <w14:ligatures w14:val="none"/>
        </w:rPr>
      </w:pPr>
    </w:p>
    <w:p w14:paraId="7F158275" w14:textId="77777777" w:rsidR="00530A64" w:rsidRPr="00882E3C" w:rsidRDefault="00530A64" w:rsidP="00882E3C">
      <w:pPr>
        <w:spacing w:before="180"/>
        <w:jc w:val="both"/>
        <w:rPr>
          <w:rFonts w:ascii="Times New Roman" w:eastAsia="Times New Roman" w:hAnsi="Times New Roman" w:cs="Times New Roman"/>
          <w:color w:val="222222"/>
          <w:kern w:val="0"/>
          <w:sz w:val="26"/>
          <w:szCs w:val="26"/>
          <w14:ligatures w14:val="none"/>
        </w:rPr>
      </w:pPr>
    </w:p>
    <w:tbl>
      <w:tblPr>
        <w:tblW w:w="0" w:type="auto"/>
        <w:tblBorders>
          <w:top w:val="outset" w:sz="6" w:space="0" w:color="auto"/>
          <w:left w:val="outset" w:sz="6" w:space="0" w:color="auto"/>
          <w:bottom w:val="outset" w:sz="6" w:space="0" w:color="auto"/>
          <w:right w:val="outset" w:sz="6" w:space="0" w:color="auto"/>
        </w:tblBorders>
        <w:tblCellMar>
          <w:top w:w="100" w:type="dxa"/>
          <w:left w:w="100" w:type="dxa"/>
          <w:bottom w:w="100" w:type="dxa"/>
          <w:right w:w="100" w:type="dxa"/>
        </w:tblCellMar>
        <w:tblLook w:val="04A0" w:firstRow="1" w:lastRow="0" w:firstColumn="1" w:lastColumn="0" w:noHBand="0" w:noVBand="1"/>
      </w:tblPr>
      <w:tblGrid>
        <w:gridCol w:w="6494"/>
        <w:gridCol w:w="2850"/>
      </w:tblGrid>
      <w:tr w:rsidR="00530A64" w:rsidRPr="00882E3C" w14:paraId="1168AF26" w14:textId="77777777" w:rsidTr="00530A64">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73AB42B"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b/>
                <w:bCs/>
                <w:kern w:val="0"/>
                <w:sz w:val="26"/>
                <w:szCs w:val="26"/>
                <w14:ligatures w14:val="none"/>
              </w:rPr>
              <w:t>Hàng hóa, dịch vụ</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21EC498"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b/>
                <w:bCs/>
                <w:kern w:val="0"/>
                <w:sz w:val="26"/>
                <w:szCs w:val="26"/>
                <w14:ligatures w14:val="none"/>
              </w:rPr>
              <w:t>Thuế suất (%)</w:t>
            </w:r>
          </w:p>
        </w:tc>
      </w:tr>
      <w:tr w:rsidR="00530A64" w:rsidRPr="00882E3C" w14:paraId="6B38631F" w14:textId="77777777" w:rsidTr="00530A64">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813F38F"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Xe ô tô chở người và xe chở người bốn bánh có gắn động cơ từ 9 chỗ trở xuống, xe ô tô pick-up chở người</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0739BFA"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Từ 01/01/2026: 3</w:t>
            </w:r>
          </w:p>
          <w:p w14:paraId="5E33965E"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b/>
                <w:bCs/>
                <w:kern w:val="0"/>
                <w:sz w:val="26"/>
                <w:szCs w:val="26"/>
                <w14:ligatures w14:val="none"/>
              </w:rPr>
              <w:t>- Từ 01/01/2031: 11</w:t>
            </w:r>
          </w:p>
          <w:p w14:paraId="7C1C7819"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lastRenderedPageBreak/>
              <w:t>Trước đây quy định tăng thuế suất từ 01/3/2027 </w:t>
            </w:r>
          </w:p>
        </w:tc>
      </w:tr>
      <w:tr w:rsidR="00530A64" w:rsidRPr="00882E3C" w14:paraId="048D3C45" w14:textId="77777777" w:rsidTr="00530A64">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6D3F88D5"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lastRenderedPageBreak/>
              <w:t>- Xe ô tô chở người và xe chở người bốn bánh có gắn động cơ từ 10 đến dưới 16 chỗ</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97134DD"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Từ 01/01/2026: 2</w:t>
            </w:r>
          </w:p>
          <w:p w14:paraId="4705C1E6"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b/>
                <w:bCs/>
                <w:kern w:val="0"/>
                <w:sz w:val="26"/>
                <w:szCs w:val="26"/>
                <w14:ligatures w14:val="none"/>
              </w:rPr>
              <w:t>- Từ 01/01/2031: 7</w:t>
            </w:r>
          </w:p>
          <w:p w14:paraId="42EC7690"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Trước đây quy định tăng thuế suất từ 01/3/2027 </w:t>
            </w:r>
          </w:p>
        </w:tc>
      </w:tr>
      <w:tr w:rsidR="00530A64" w:rsidRPr="00882E3C" w14:paraId="0CEAB0F3" w14:textId="77777777" w:rsidTr="00530A64">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394DE142"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Xe ô tô chở người và xe chở người bốn bánh có gắn động cơ từ 16 đến dưới 24 chỗ</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BC771AC"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Từ 01/01/2026: 1</w:t>
            </w:r>
          </w:p>
          <w:p w14:paraId="2D60C560"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b/>
                <w:bCs/>
                <w:kern w:val="0"/>
                <w:sz w:val="26"/>
                <w:szCs w:val="26"/>
                <w14:ligatures w14:val="none"/>
              </w:rPr>
              <w:t>- Từ 01/01/2031: 4</w:t>
            </w:r>
          </w:p>
          <w:p w14:paraId="7480D14F"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Trước đây quy định tăng thuế suất từ 01/3/2027 </w:t>
            </w:r>
          </w:p>
        </w:tc>
      </w:tr>
      <w:tr w:rsidR="00530A64" w:rsidRPr="00882E3C" w14:paraId="08C76525" w14:textId="77777777" w:rsidTr="00530A64">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22930776"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Xe ô tô pick-up chở hàng cabin kép, xe ô tô tải VAN có từ hai hàng ghế trở lên, có thiết kế vách ngăn cố định giữa khoang chở người và khoang chở hàng</w:t>
            </w:r>
          </w:p>
        </w:tc>
        <w:tc>
          <w:tcPr>
            <w:tcW w:w="0" w:type="auto"/>
            <w:tcBorders>
              <w:top w:val="single" w:sz="6" w:space="0" w:color="C8C8C8"/>
              <w:left w:val="single" w:sz="6" w:space="0" w:color="C8C8C8"/>
              <w:bottom w:val="single" w:sz="6" w:space="0" w:color="C8C8C8"/>
              <w:right w:val="single" w:sz="6" w:space="0" w:color="C8C8C8"/>
            </w:tcBorders>
            <w:tcMar>
              <w:top w:w="120" w:type="dxa"/>
              <w:left w:w="120" w:type="dxa"/>
              <w:bottom w:w="120" w:type="dxa"/>
              <w:right w:w="120" w:type="dxa"/>
            </w:tcMar>
            <w:vAlign w:val="center"/>
            <w:hideMark/>
          </w:tcPr>
          <w:p w14:paraId="7D9201A5"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 Từ 01/01/2026: 2</w:t>
            </w:r>
          </w:p>
          <w:p w14:paraId="65561797"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b/>
                <w:bCs/>
                <w:kern w:val="0"/>
                <w:sz w:val="26"/>
                <w:szCs w:val="26"/>
                <w14:ligatures w14:val="none"/>
              </w:rPr>
              <w:t>- Từ 01/01/2031: 7</w:t>
            </w:r>
          </w:p>
          <w:p w14:paraId="32D3F76A" w14:textId="77777777" w:rsidR="00530A64" w:rsidRPr="00882E3C" w:rsidRDefault="00530A64" w:rsidP="00882E3C">
            <w:pPr>
              <w:spacing w:before="180" w:after="180"/>
              <w:jc w:val="both"/>
              <w:rPr>
                <w:rFonts w:ascii="Times New Roman" w:eastAsia="Times New Roman" w:hAnsi="Times New Roman" w:cs="Times New Roman"/>
                <w:kern w:val="0"/>
                <w:sz w:val="26"/>
                <w:szCs w:val="26"/>
                <w14:ligatures w14:val="none"/>
              </w:rPr>
            </w:pPr>
            <w:r w:rsidRPr="00882E3C">
              <w:rPr>
                <w:rFonts w:ascii="Times New Roman" w:eastAsia="Times New Roman" w:hAnsi="Times New Roman" w:cs="Times New Roman"/>
                <w:kern w:val="0"/>
                <w:sz w:val="26"/>
                <w:szCs w:val="26"/>
                <w14:ligatures w14:val="none"/>
              </w:rPr>
              <w:t>Trước đây quy định tăng thuế suất từ 01/3/2027 </w:t>
            </w:r>
          </w:p>
        </w:tc>
      </w:tr>
    </w:tbl>
    <w:p w14:paraId="647FE26E" w14:textId="77777777" w:rsidR="00530A64" w:rsidRPr="00882E3C" w:rsidRDefault="00530A64" w:rsidP="00882E3C">
      <w:pPr>
        <w:spacing w:before="180" w:after="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Như vậy, đáng lẽ đến ngày 01/3/2027, các loại xe có gắn động cơ dưới 24 chỗ chạy bằng pin sẽ tăng thuế tiêu thụ đặc biệt. Tuy nhiên, Luật mới đã </w:t>
      </w:r>
      <w:r w:rsidRPr="00882E3C">
        <w:rPr>
          <w:rFonts w:ascii="Times New Roman" w:eastAsia="Times New Roman" w:hAnsi="Times New Roman" w:cs="Times New Roman"/>
          <w:b/>
          <w:bCs/>
          <w:color w:val="222222"/>
          <w:kern w:val="0"/>
          <w:sz w:val="26"/>
          <w:szCs w:val="26"/>
          <w14:ligatures w14:val="none"/>
        </w:rPr>
        <w:t>kéo dài thời gian áp dụng mức thuế ưu đãi hiện nay đến 01/01/2031</w:t>
      </w:r>
      <w:r w:rsidRPr="00882E3C">
        <w:rPr>
          <w:rFonts w:ascii="Times New Roman" w:eastAsia="Times New Roman" w:hAnsi="Times New Roman" w:cs="Times New Roman"/>
          <w:color w:val="222222"/>
          <w:kern w:val="0"/>
          <w:sz w:val="26"/>
          <w:szCs w:val="26"/>
          <w14:ligatures w14:val="none"/>
        </w:rPr>
        <w:t> nhằm thúc đẩy thị trường xe điện và mục tiêu giảm phát thải.</w:t>
      </w:r>
    </w:p>
    <w:p w14:paraId="191E7353" w14:textId="77777777" w:rsidR="00530A64" w:rsidRPr="00882E3C" w:rsidRDefault="00530A64" w:rsidP="00882E3C">
      <w:pPr>
        <w:spacing w:before="180"/>
        <w:jc w:val="both"/>
        <w:rPr>
          <w:rFonts w:ascii="Times New Roman" w:eastAsia="Times New Roman" w:hAnsi="Times New Roman" w:cs="Times New Roman"/>
          <w:color w:val="222222"/>
          <w:kern w:val="0"/>
          <w:sz w:val="26"/>
          <w:szCs w:val="26"/>
          <w14:ligatures w14:val="none"/>
        </w:rPr>
      </w:pPr>
      <w:r w:rsidRPr="00882E3C">
        <w:rPr>
          <w:rFonts w:ascii="Times New Roman" w:eastAsia="Times New Roman" w:hAnsi="Times New Roman" w:cs="Times New Roman"/>
          <w:color w:val="222222"/>
          <w:kern w:val="0"/>
          <w:sz w:val="26"/>
          <w:szCs w:val="26"/>
          <w14:ligatures w14:val="none"/>
        </w:rPr>
        <w:t>Trên đây là Điểm mới của Luật số 09/2026/QH16 về thuế TNCN, GTGT, TNDN.</w:t>
      </w:r>
    </w:p>
    <w:p w14:paraId="403AF711" w14:textId="77777777" w:rsidR="00530A64" w:rsidRPr="00882E3C" w:rsidRDefault="00530A64" w:rsidP="00882E3C">
      <w:pPr>
        <w:jc w:val="both"/>
        <w:rPr>
          <w:rFonts w:ascii="Times New Roman" w:hAnsi="Times New Roman" w:cs="Times New Roman"/>
        </w:rPr>
      </w:pPr>
    </w:p>
    <w:sectPr w:rsidR="00530A64" w:rsidRPr="00882E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C0651"/>
    <w:multiLevelType w:val="multilevel"/>
    <w:tmpl w:val="0AE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54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64"/>
    <w:rsid w:val="00530A64"/>
    <w:rsid w:val="00882E3C"/>
    <w:rsid w:val="0098727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04A8B"/>
  <w15:chartTrackingRefBased/>
  <w15:docId w15:val="{0C24AA73-8B84-244D-9243-02817C22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A6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530A6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A6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530A64"/>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530A64"/>
    <w:rPr>
      <w:color w:val="0000FF"/>
      <w:u w:val="single"/>
    </w:rPr>
  </w:style>
  <w:style w:type="character" w:customStyle="1" w:styleId="toc-title">
    <w:name w:val="toc-title"/>
    <w:basedOn w:val="DefaultParagraphFont"/>
    <w:rsid w:val="00530A64"/>
  </w:style>
  <w:style w:type="character" w:customStyle="1" w:styleId="toc-show">
    <w:name w:val="toc-show"/>
    <w:basedOn w:val="DefaultParagraphFont"/>
    <w:rsid w:val="00530A64"/>
  </w:style>
  <w:style w:type="paragraph" w:customStyle="1" w:styleId="toclevel-4">
    <w:name w:val="toclevel-4"/>
    <w:basedOn w:val="Normal"/>
    <w:rsid w:val="00530A64"/>
    <w:pPr>
      <w:spacing w:before="100" w:beforeAutospacing="1" w:after="100" w:afterAutospacing="1"/>
    </w:pPr>
    <w:rPr>
      <w:rFonts w:ascii="Times New Roman" w:eastAsia="Times New Roman" w:hAnsi="Times New Roman" w:cs="Times New Roman"/>
      <w:kern w:val="0"/>
      <w14:ligatures w14:val="none"/>
    </w:rPr>
  </w:style>
  <w:style w:type="character" w:customStyle="1" w:styleId="toctext">
    <w:name w:val="toctext"/>
    <w:basedOn w:val="DefaultParagraphFont"/>
    <w:rsid w:val="00530A64"/>
  </w:style>
  <w:style w:type="paragraph" w:styleId="NormalWeb">
    <w:name w:val="Normal (Web)"/>
    <w:basedOn w:val="Normal"/>
    <w:uiPriority w:val="99"/>
    <w:semiHidden/>
    <w:unhideWhenUsed/>
    <w:rsid w:val="00530A64"/>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30A64"/>
    <w:rPr>
      <w:i/>
      <w:iCs/>
    </w:rPr>
  </w:style>
  <w:style w:type="character" w:styleId="Strong">
    <w:name w:val="Strong"/>
    <w:basedOn w:val="DefaultParagraphFont"/>
    <w:uiPriority w:val="22"/>
    <w:qFormat/>
    <w:rsid w:val="00530A64"/>
    <w:rPr>
      <w:b/>
      <w:bCs/>
    </w:rPr>
  </w:style>
  <w:style w:type="paragraph" w:customStyle="1" w:styleId="uk-ima-control-bar-remain-time">
    <w:name w:val="uk-ima-control-bar-remain-time"/>
    <w:basedOn w:val="Normal"/>
    <w:rsid w:val="00530A6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490242">
      <w:bodyDiv w:val="1"/>
      <w:marLeft w:val="0"/>
      <w:marRight w:val="0"/>
      <w:marTop w:val="0"/>
      <w:marBottom w:val="0"/>
      <w:divBdr>
        <w:top w:val="none" w:sz="0" w:space="0" w:color="auto"/>
        <w:left w:val="none" w:sz="0" w:space="0" w:color="auto"/>
        <w:bottom w:val="none" w:sz="0" w:space="0" w:color="auto"/>
        <w:right w:val="none" w:sz="0" w:space="0" w:color="auto"/>
      </w:divBdr>
      <w:divsChild>
        <w:div w:id="843478938">
          <w:marLeft w:val="0"/>
          <w:marRight w:val="0"/>
          <w:marTop w:val="0"/>
          <w:marBottom w:val="180"/>
          <w:divBdr>
            <w:top w:val="none" w:sz="0" w:space="0" w:color="auto"/>
            <w:left w:val="none" w:sz="0" w:space="0" w:color="auto"/>
            <w:bottom w:val="none" w:sz="0" w:space="0" w:color="auto"/>
            <w:right w:val="none" w:sz="0" w:space="0" w:color="auto"/>
          </w:divBdr>
          <w:divsChild>
            <w:div w:id="1230001116">
              <w:marLeft w:val="0"/>
              <w:marRight w:val="0"/>
              <w:marTop w:val="0"/>
              <w:marBottom w:val="0"/>
              <w:divBdr>
                <w:top w:val="none" w:sz="0" w:space="0" w:color="auto"/>
                <w:left w:val="none" w:sz="0" w:space="0" w:color="auto"/>
                <w:bottom w:val="none" w:sz="0" w:space="0" w:color="auto"/>
                <w:right w:val="none" w:sz="0" w:space="0" w:color="auto"/>
              </w:divBdr>
              <w:divsChild>
                <w:div w:id="1174493432">
                  <w:marLeft w:val="0"/>
                  <w:marRight w:val="0"/>
                  <w:marTop w:val="0"/>
                  <w:marBottom w:val="0"/>
                  <w:divBdr>
                    <w:top w:val="none" w:sz="0" w:space="0" w:color="auto"/>
                    <w:left w:val="none" w:sz="0" w:space="0" w:color="auto"/>
                    <w:bottom w:val="none" w:sz="0" w:space="0" w:color="auto"/>
                    <w:right w:val="none" w:sz="0" w:space="0" w:color="auto"/>
                  </w:divBdr>
                  <w:divsChild>
                    <w:div w:id="1055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30774">
          <w:marLeft w:val="0"/>
          <w:marRight w:val="0"/>
          <w:marTop w:val="0"/>
          <w:marBottom w:val="240"/>
          <w:divBdr>
            <w:top w:val="none" w:sz="0" w:space="0" w:color="auto"/>
            <w:left w:val="none" w:sz="0" w:space="0" w:color="auto"/>
            <w:bottom w:val="none" w:sz="0" w:space="0" w:color="auto"/>
            <w:right w:val="none" w:sz="0" w:space="0" w:color="auto"/>
          </w:divBdr>
          <w:divsChild>
            <w:div w:id="1800537779">
              <w:marLeft w:val="0"/>
              <w:marRight w:val="0"/>
              <w:marTop w:val="0"/>
              <w:marBottom w:val="0"/>
              <w:divBdr>
                <w:top w:val="none" w:sz="0" w:space="0" w:color="auto"/>
                <w:left w:val="none" w:sz="0" w:space="0" w:color="auto"/>
                <w:bottom w:val="none" w:sz="0" w:space="0" w:color="auto"/>
                <w:right w:val="none" w:sz="0" w:space="0" w:color="auto"/>
              </w:divBdr>
            </w:div>
            <w:div w:id="1570651644">
              <w:marLeft w:val="0"/>
              <w:marRight w:val="0"/>
              <w:marTop w:val="240"/>
              <w:marBottom w:val="240"/>
              <w:divBdr>
                <w:top w:val="single" w:sz="6" w:space="9" w:color="E0E0E0"/>
                <w:left w:val="single" w:sz="6" w:space="12" w:color="E0E0E0"/>
                <w:bottom w:val="single" w:sz="6" w:space="9" w:color="E0E0E0"/>
                <w:right w:val="single" w:sz="6" w:space="12" w:color="E0E0E0"/>
              </w:divBdr>
              <w:divsChild>
                <w:div w:id="2050495628">
                  <w:marLeft w:val="0"/>
                  <w:marRight w:val="0"/>
                  <w:marTop w:val="0"/>
                  <w:marBottom w:val="0"/>
                  <w:divBdr>
                    <w:top w:val="none" w:sz="0" w:space="0" w:color="auto"/>
                    <w:left w:val="none" w:sz="0" w:space="0" w:color="auto"/>
                    <w:bottom w:val="none" w:sz="0" w:space="0" w:color="auto"/>
                    <w:right w:val="none" w:sz="0" w:space="0" w:color="auto"/>
                  </w:divBdr>
                </w:div>
                <w:div w:id="1326283760">
                  <w:marLeft w:val="0"/>
                  <w:marRight w:val="0"/>
                  <w:marTop w:val="0"/>
                  <w:marBottom w:val="0"/>
                  <w:divBdr>
                    <w:top w:val="none" w:sz="0" w:space="0" w:color="auto"/>
                    <w:left w:val="none" w:sz="0" w:space="0" w:color="auto"/>
                    <w:bottom w:val="none" w:sz="0" w:space="0" w:color="auto"/>
                    <w:right w:val="none" w:sz="0" w:space="0" w:color="auto"/>
                  </w:divBdr>
                </w:div>
              </w:divsChild>
            </w:div>
            <w:div w:id="2035617140">
              <w:blockQuote w:val="1"/>
              <w:marLeft w:val="420"/>
              <w:marRight w:val="0"/>
              <w:marTop w:val="0"/>
              <w:marBottom w:val="0"/>
              <w:divBdr>
                <w:top w:val="none" w:sz="0" w:space="0" w:color="auto"/>
                <w:left w:val="single" w:sz="18" w:space="12" w:color="CCCCCC"/>
                <w:bottom w:val="none" w:sz="0" w:space="0" w:color="auto"/>
                <w:right w:val="none" w:sz="0" w:space="0" w:color="auto"/>
              </w:divBdr>
            </w:div>
            <w:div w:id="374962967">
              <w:blockQuote w:val="1"/>
              <w:marLeft w:val="420"/>
              <w:marRight w:val="0"/>
              <w:marTop w:val="0"/>
              <w:marBottom w:val="0"/>
              <w:divBdr>
                <w:top w:val="none" w:sz="0" w:space="0" w:color="auto"/>
                <w:left w:val="single" w:sz="18" w:space="12" w:color="CCCCCC"/>
                <w:bottom w:val="none" w:sz="0" w:space="0" w:color="auto"/>
                <w:right w:val="none" w:sz="0" w:space="0" w:color="auto"/>
              </w:divBdr>
            </w:div>
            <w:div w:id="156851752">
              <w:marLeft w:val="0"/>
              <w:marRight w:val="0"/>
              <w:marTop w:val="0"/>
              <w:marBottom w:val="120"/>
              <w:divBdr>
                <w:top w:val="none" w:sz="0" w:space="0" w:color="auto"/>
                <w:left w:val="none" w:sz="0" w:space="0" w:color="auto"/>
                <w:bottom w:val="none" w:sz="0" w:space="0" w:color="auto"/>
                <w:right w:val="none" w:sz="0" w:space="0" w:color="auto"/>
              </w:divBdr>
              <w:divsChild>
                <w:div w:id="1674185505">
                  <w:marLeft w:val="0"/>
                  <w:marRight w:val="0"/>
                  <w:marTop w:val="0"/>
                  <w:marBottom w:val="240"/>
                  <w:divBdr>
                    <w:top w:val="none" w:sz="0" w:space="0" w:color="auto"/>
                    <w:left w:val="none" w:sz="0" w:space="0" w:color="auto"/>
                    <w:bottom w:val="none" w:sz="0" w:space="0" w:color="auto"/>
                    <w:right w:val="none" w:sz="0" w:space="0" w:color="auto"/>
                  </w:divBdr>
                  <w:divsChild>
                    <w:div w:id="2102792349">
                      <w:marLeft w:val="0"/>
                      <w:marRight w:val="0"/>
                      <w:marTop w:val="0"/>
                      <w:marBottom w:val="0"/>
                      <w:divBdr>
                        <w:top w:val="none" w:sz="0" w:space="0" w:color="auto"/>
                        <w:left w:val="none" w:sz="0" w:space="0" w:color="auto"/>
                        <w:bottom w:val="none" w:sz="0" w:space="0" w:color="auto"/>
                        <w:right w:val="none" w:sz="0" w:space="0" w:color="auto"/>
                      </w:divBdr>
                      <w:divsChild>
                        <w:div w:id="915865823">
                          <w:marLeft w:val="0"/>
                          <w:marRight w:val="0"/>
                          <w:marTop w:val="0"/>
                          <w:marBottom w:val="0"/>
                          <w:divBdr>
                            <w:top w:val="none" w:sz="0" w:space="0" w:color="auto"/>
                            <w:left w:val="none" w:sz="0" w:space="0" w:color="auto"/>
                            <w:bottom w:val="none" w:sz="0" w:space="0" w:color="auto"/>
                            <w:right w:val="none" w:sz="0" w:space="0" w:color="auto"/>
                          </w:divBdr>
                          <w:divsChild>
                            <w:div w:id="844249797">
                              <w:marLeft w:val="0"/>
                              <w:marRight w:val="0"/>
                              <w:marTop w:val="0"/>
                              <w:marBottom w:val="0"/>
                              <w:divBdr>
                                <w:top w:val="none" w:sz="0" w:space="0" w:color="auto"/>
                                <w:left w:val="none" w:sz="0" w:space="0" w:color="auto"/>
                                <w:bottom w:val="none" w:sz="0" w:space="0" w:color="auto"/>
                                <w:right w:val="none" w:sz="0" w:space="0" w:color="auto"/>
                              </w:divBdr>
                              <w:divsChild>
                                <w:div w:id="348260851">
                                  <w:marLeft w:val="0"/>
                                  <w:marRight w:val="0"/>
                                  <w:marTop w:val="0"/>
                                  <w:marBottom w:val="0"/>
                                  <w:divBdr>
                                    <w:top w:val="none" w:sz="0" w:space="0" w:color="auto"/>
                                    <w:left w:val="none" w:sz="0" w:space="0" w:color="auto"/>
                                    <w:bottom w:val="none" w:sz="0" w:space="0" w:color="auto"/>
                                    <w:right w:val="none" w:sz="0" w:space="0" w:color="auto"/>
                                  </w:divBdr>
                                  <w:divsChild>
                                    <w:div w:id="1811361469">
                                      <w:marLeft w:val="0"/>
                                      <w:marRight w:val="0"/>
                                      <w:marTop w:val="0"/>
                                      <w:marBottom w:val="0"/>
                                      <w:divBdr>
                                        <w:top w:val="none" w:sz="0" w:space="0" w:color="auto"/>
                                        <w:left w:val="none" w:sz="0" w:space="0" w:color="auto"/>
                                        <w:bottom w:val="none" w:sz="0" w:space="0" w:color="auto"/>
                                        <w:right w:val="none" w:sz="0" w:space="0" w:color="auto"/>
                                      </w:divBdr>
                                      <w:divsChild>
                                        <w:div w:id="229770657">
                                          <w:marLeft w:val="0"/>
                                          <w:marRight w:val="0"/>
                                          <w:marTop w:val="0"/>
                                          <w:marBottom w:val="0"/>
                                          <w:divBdr>
                                            <w:top w:val="none" w:sz="0" w:space="0" w:color="auto"/>
                                            <w:left w:val="none" w:sz="0" w:space="0" w:color="auto"/>
                                            <w:bottom w:val="none" w:sz="0" w:space="0" w:color="auto"/>
                                            <w:right w:val="none" w:sz="0" w:space="0" w:color="auto"/>
                                          </w:divBdr>
                                          <w:divsChild>
                                            <w:div w:id="1683970635">
                                              <w:marLeft w:val="0"/>
                                              <w:marRight w:val="0"/>
                                              <w:marTop w:val="0"/>
                                              <w:marBottom w:val="0"/>
                                              <w:divBdr>
                                                <w:top w:val="none" w:sz="0" w:space="0" w:color="auto"/>
                                                <w:left w:val="none" w:sz="0" w:space="0" w:color="auto"/>
                                                <w:bottom w:val="none" w:sz="0" w:space="0" w:color="auto"/>
                                                <w:right w:val="none" w:sz="0" w:space="0" w:color="auto"/>
                                              </w:divBdr>
                                              <w:divsChild>
                                                <w:div w:id="1794864109">
                                                  <w:marLeft w:val="0"/>
                                                  <w:marRight w:val="0"/>
                                                  <w:marTop w:val="0"/>
                                                  <w:marBottom w:val="0"/>
                                                  <w:divBdr>
                                                    <w:top w:val="none" w:sz="0" w:space="0" w:color="auto"/>
                                                    <w:left w:val="none" w:sz="0" w:space="0" w:color="auto"/>
                                                    <w:bottom w:val="none" w:sz="0" w:space="0" w:color="auto"/>
                                                    <w:right w:val="none" w:sz="0" w:space="0" w:color="auto"/>
                                                  </w:divBdr>
                                                  <w:divsChild>
                                                    <w:div w:id="11099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9578692">
              <w:blockQuote w:val="1"/>
              <w:marLeft w:val="420"/>
              <w:marRight w:val="0"/>
              <w:marTop w:val="0"/>
              <w:marBottom w:val="0"/>
              <w:divBdr>
                <w:top w:val="none" w:sz="0" w:space="0" w:color="auto"/>
                <w:left w:val="single" w:sz="18" w:space="12" w:color="CCCCCC"/>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Lê Nhân Nguyễn</cp:lastModifiedBy>
  <cp:revision>3</cp:revision>
  <dcterms:created xsi:type="dcterms:W3CDTF">2026-06-10T07:37:00Z</dcterms:created>
  <dcterms:modified xsi:type="dcterms:W3CDTF">2026-06-17T02:08:00Z</dcterms:modified>
</cp:coreProperties>
</file>