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B5FD" w14:textId="4000CD6E" w:rsidR="00053D2C" w:rsidRPr="002B7675" w:rsidRDefault="00482B96" w:rsidP="002B7675">
      <w:pPr>
        <w:pStyle w:val="Heading2"/>
        <w:spacing w:before="120" w:beforeAutospacing="0" w:after="120" w:afterAutospacing="0" w:line="360" w:lineRule="auto"/>
        <w:jc w:val="center"/>
        <w:rPr>
          <w:b w:val="0"/>
          <w:bCs w:val="0"/>
          <w:sz w:val="28"/>
          <w:szCs w:val="28"/>
          <w:lang w:val="vi-VN"/>
        </w:rPr>
      </w:pPr>
      <w:r w:rsidRPr="00482B96">
        <w:rPr>
          <w:rStyle w:val="Strong"/>
          <w:b/>
          <w:bCs/>
          <w:sz w:val="28"/>
          <w:szCs w:val="28"/>
          <w:lang w:val="vi-VN"/>
        </w:rPr>
        <w:t>M</w:t>
      </w:r>
      <w:r w:rsidR="00053D2C" w:rsidRPr="00482B96">
        <w:rPr>
          <w:rStyle w:val="Strong"/>
          <w:b/>
          <w:bCs/>
          <w:sz w:val="28"/>
          <w:szCs w:val="28"/>
        </w:rPr>
        <w:t>ức thuế suất thuế giá trị gia tăng</w:t>
      </w:r>
      <w:r w:rsidRPr="00482B96">
        <w:rPr>
          <w:rStyle w:val="Strong"/>
          <w:b/>
          <w:bCs/>
          <w:sz w:val="28"/>
          <w:szCs w:val="28"/>
          <w:lang w:val="vi-VN"/>
        </w:rPr>
        <w:t xml:space="preserve"> và chính sách giảm thuế GTGT năm 2026</w:t>
      </w:r>
    </w:p>
    <w:p w14:paraId="15C69649" w14:textId="386A694D" w:rsidR="00053D2C" w:rsidRPr="0013646A" w:rsidRDefault="00482B96" w:rsidP="002B7675">
      <w:pPr>
        <w:spacing w:before="120" w:after="120" w:line="360" w:lineRule="auto"/>
        <w:jc w:val="both"/>
        <w:rPr>
          <w:rFonts w:ascii="Times New Roman" w:hAnsi="Times New Roman" w:cs="Times New Roman"/>
          <w:i/>
          <w:iCs/>
          <w:sz w:val="26"/>
          <w:szCs w:val="26"/>
          <w:lang w:val="vi-VN"/>
        </w:rPr>
      </w:pPr>
      <w:r w:rsidRPr="0013646A">
        <w:rPr>
          <w:rStyle w:val="Emphasis"/>
          <w:rFonts w:ascii="Times New Roman" w:hAnsi="Times New Roman" w:cs="Times New Roman"/>
          <w:b/>
          <w:bCs/>
          <w:i w:val="0"/>
          <w:iCs w:val="0"/>
          <w:sz w:val="26"/>
          <w:szCs w:val="26"/>
          <w:lang w:val="vi-VN"/>
        </w:rPr>
        <w:t xml:space="preserve">1. </w:t>
      </w:r>
      <w:r w:rsidR="00053D2C" w:rsidRPr="0013646A">
        <w:rPr>
          <w:rStyle w:val="Emphasis"/>
          <w:rFonts w:ascii="Times New Roman" w:hAnsi="Times New Roman" w:cs="Times New Roman"/>
          <w:b/>
          <w:bCs/>
          <w:i w:val="0"/>
          <w:iCs w:val="0"/>
          <w:sz w:val="26"/>
          <w:szCs w:val="26"/>
        </w:rPr>
        <w:t>Thuế suất</w:t>
      </w:r>
      <w:r w:rsidRPr="0013646A">
        <w:rPr>
          <w:rStyle w:val="Emphasis"/>
          <w:rFonts w:ascii="Times New Roman" w:hAnsi="Times New Roman" w:cs="Times New Roman"/>
          <w:b/>
          <w:bCs/>
          <w:i w:val="0"/>
          <w:iCs w:val="0"/>
          <w:sz w:val="26"/>
          <w:szCs w:val="26"/>
          <w:lang w:val="vi-VN"/>
        </w:rPr>
        <w:t xml:space="preserve"> thuế GTGT</w:t>
      </w:r>
    </w:p>
    <w:p w14:paraId="71959952" w14:textId="77777777" w:rsidR="00482B96" w:rsidRPr="002B7675" w:rsidRDefault="00482B96" w:rsidP="002B7675">
      <w:pPr>
        <w:spacing w:before="120" w:after="120" w:line="360" w:lineRule="auto"/>
        <w:jc w:val="both"/>
        <w:rPr>
          <w:rFonts w:ascii="Times New Roman" w:hAnsi="Times New Roman" w:cs="Times New Roman"/>
          <w:sz w:val="26"/>
          <w:szCs w:val="26"/>
        </w:rPr>
      </w:pPr>
      <w:r w:rsidRPr="002B7675">
        <w:rPr>
          <w:rFonts w:ascii="Times New Roman" w:hAnsi="Times New Roman" w:cs="Times New Roman"/>
          <w:sz w:val="26"/>
          <w:szCs w:val="26"/>
        </w:rPr>
        <w:t>Căn cứ theo quy định tại Điều 9</w:t>
      </w:r>
      <w:r w:rsidRPr="002B7675">
        <w:rPr>
          <w:rStyle w:val="apple-converted-space"/>
          <w:rFonts w:ascii="Times New Roman" w:hAnsi="Times New Roman" w:cs="Times New Roman"/>
          <w:sz w:val="26"/>
          <w:szCs w:val="26"/>
        </w:rPr>
        <w:t> </w:t>
      </w:r>
      <w:hyperlink r:id="rId5" w:tgtFrame="_blank" w:history="1">
        <w:r w:rsidRPr="002B7675">
          <w:rPr>
            <w:rStyle w:val="Hyperlink"/>
            <w:rFonts w:ascii="Times New Roman" w:hAnsi="Times New Roman" w:cs="Times New Roman"/>
            <w:color w:val="0E70A4"/>
            <w:sz w:val="26"/>
            <w:szCs w:val="26"/>
          </w:rPr>
          <w:t>Luật Thuế giá trị gia tăng 2024</w:t>
        </w:r>
      </w:hyperlink>
      <w:r w:rsidRPr="002B7675">
        <w:rPr>
          <w:rStyle w:val="apple-converted-space"/>
          <w:rFonts w:ascii="Times New Roman" w:hAnsi="Times New Roman" w:cs="Times New Roman"/>
          <w:sz w:val="26"/>
          <w:szCs w:val="26"/>
        </w:rPr>
        <w:t> </w:t>
      </w:r>
      <w:r w:rsidRPr="002B7675">
        <w:rPr>
          <w:rFonts w:ascii="Times New Roman" w:hAnsi="Times New Roman" w:cs="Times New Roman"/>
          <w:sz w:val="26"/>
          <w:szCs w:val="26"/>
        </w:rPr>
        <w:t>quy định về thuế suất thuế giá trị gia tăng như sau:</w:t>
      </w:r>
    </w:p>
    <w:p w14:paraId="7E802D3B" w14:textId="78E52793" w:rsidR="00053D2C" w:rsidRPr="00482B96" w:rsidRDefault="00482B96" w:rsidP="002B7675">
      <w:pPr>
        <w:spacing w:before="120" w:after="120" w:line="360" w:lineRule="auto"/>
        <w:jc w:val="both"/>
        <w:rPr>
          <w:rFonts w:ascii="Times New Roman" w:hAnsi="Times New Roman" w:cs="Times New Roman"/>
          <w:sz w:val="26"/>
          <w:szCs w:val="26"/>
        </w:rPr>
      </w:pPr>
      <w:r w:rsidRPr="0013646A">
        <w:rPr>
          <w:rFonts w:ascii="Times New Roman" w:hAnsi="Times New Roman" w:cs="Times New Roman"/>
          <w:b/>
          <w:bCs/>
          <w:i/>
          <w:iCs/>
          <w:sz w:val="26"/>
          <w:szCs w:val="26"/>
          <w:lang w:val="vi-VN"/>
        </w:rPr>
        <w:t>1.</w:t>
      </w:r>
      <w:r w:rsidR="00053D2C" w:rsidRPr="0013646A">
        <w:rPr>
          <w:rStyle w:val="Emphasis"/>
          <w:rFonts w:ascii="Times New Roman" w:hAnsi="Times New Roman" w:cs="Times New Roman"/>
          <w:b/>
          <w:bCs/>
          <w:sz w:val="26"/>
          <w:szCs w:val="26"/>
        </w:rPr>
        <w:t>1</w:t>
      </w:r>
      <w:r w:rsidR="00053D2C" w:rsidRPr="00482B96">
        <w:rPr>
          <w:rStyle w:val="Emphasis"/>
          <w:rFonts w:ascii="Times New Roman" w:hAnsi="Times New Roman" w:cs="Times New Roman"/>
          <w:b/>
          <w:bCs/>
          <w:sz w:val="26"/>
          <w:szCs w:val="26"/>
        </w:rPr>
        <w:t>. Mức thuế suất 0% áp dụng đối với hàng hóa, dịch vụ sau đây:</w:t>
      </w:r>
    </w:p>
    <w:p w14:paraId="165431EA" w14:textId="77777777" w:rsidR="00053D2C" w:rsidRPr="00621330" w:rsidRDefault="00053D2C" w:rsidP="002B7675">
      <w:pPr>
        <w:spacing w:before="120" w:after="120" w:line="360" w:lineRule="auto"/>
        <w:jc w:val="both"/>
        <w:rPr>
          <w:rFonts w:ascii="Times New Roman" w:hAnsi="Times New Roman" w:cs="Times New Roman"/>
          <w:sz w:val="26"/>
          <w:szCs w:val="26"/>
        </w:rPr>
      </w:pPr>
      <w:r w:rsidRPr="00621330">
        <w:rPr>
          <w:rStyle w:val="Emphasis"/>
          <w:rFonts w:ascii="Times New Roman" w:hAnsi="Times New Roman" w:cs="Times New Roman"/>
          <w:sz w:val="26"/>
          <w:szCs w:val="26"/>
        </w:rP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w:t>
      </w:r>
    </w:p>
    <w:p w14:paraId="51211BFF" w14:textId="776E88CE" w:rsidR="00053D2C" w:rsidRPr="00621330" w:rsidRDefault="0013646A" w:rsidP="002B7675">
      <w:pPr>
        <w:spacing w:before="120" w:after="120" w:line="360" w:lineRule="auto"/>
        <w:jc w:val="both"/>
        <w:rPr>
          <w:rFonts w:ascii="Times New Roman" w:hAnsi="Times New Roman" w:cs="Times New Roman"/>
          <w:sz w:val="26"/>
          <w:szCs w:val="26"/>
        </w:rPr>
      </w:pPr>
      <w:r>
        <w:rPr>
          <w:rStyle w:val="Emphasis"/>
          <w:rFonts w:ascii="Times New Roman" w:hAnsi="Times New Roman" w:cs="Times New Roman"/>
          <w:b/>
          <w:bCs/>
          <w:sz w:val="26"/>
          <w:szCs w:val="26"/>
          <w:lang w:val="vi-VN"/>
        </w:rPr>
        <w:t>1.</w:t>
      </w:r>
      <w:r w:rsidR="00053D2C" w:rsidRPr="00621330">
        <w:rPr>
          <w:rStyle w:val="Emphasis"/>
          <w:rFonts w:ascii="Times New Roman" w:hAnsi="Times New Roman" w:cs="Times New Roman"/>
          <w:b/>
          <w:bCs/>
          <w:sz w:val="26"/>
          <w:szCs w:val="26"/>
        </w:rPr>
        <w:t>2. Mức thuế suất 5% áp dụng đối với hàng hóa, dịch vụ sau đây:</w:t>
      </w:r>
    </w:p>
    <w:p w14:paraId="7E3BDA3A" w14:textId="77777777" w:rsidR="00053D2C" w:rsidRPr="00621330" w:rsidRDefault="00053D2C" w:rsidP="002B7675">
      <w:pPr>
        <w:spacing w:before="120" w:after="120" w:line="360" w:lineRule="auto"/>
        <w:jc w:val="both"/>
        <w:rPr>
          <w:rFonts w:ascii="Times New Roman" w:hAnsi="Times New Roman" w:cs="Times New Roman"/>
          <w:sz w:val="26"/>
          <w:szCs w:val="26"/>
        </w:rPr>
      </w:pPr>
      <w:r w:rsidRPr="00621330">
        <w:rPr>
          <w:rStyle w:val="Emphasis"/>
          <w:rFonts w:ascii="Times New Roman" w:hAnsi="Times New Roman" w:cs="Times New Roman"/>
          <w:sz w:val="26"/>
          <w:szCs w:val="26"/>
        </w:rPr>
        <w:t>a) Nước sạch phục vụ sản xuất và sinh hoạt không bao gồm các loại nước uống đóng chai, đóng bình và các loại nước giải khát khác;</w:t>
      </w:r>
    </w:p>
    <w:p w14:paraId="1D992152" w14:textId="5135AB40" w:rsidR="00053D2C" w:rsidRPr="00621330" w:rsidRDefault="0013646A" w:rsidP="002B7675">
      <w:pPr>
        <w:spacing w:before="120" w:after="120" w:line="360" w:lineRule="auto"/>
        <w:jc w:val="both"/>
        <w:rPr>
          <w:rFonts w:ascii="Times New Roman" w:hAnsi="Times New Roman" w:cs="Times New Roman"/>
          <w:sz w:val="26"/>
          <w:szCs w:val="26"/>
        </w:rPr>
      </w:pPr>
      <w:r>
        <w:rPr>
          <w:rStyle w:val="Emphasis"/>
          <w:rFonts w:ascii="Times New Roman" w:hAnsi="Times New Roman" w:cs="Times New Roman"/>
          <w:b/>
          <w:bCs/>
          <w:sz w:val="26"/>
          <w:szCs w:val="26"/>
          <w:lang w:val="vi-VN"/>
        </w:rPr>
        <w:t>1.</w:t>
      </w:r>
      <w:r w:rsidR="00053D2C" w:rsidRPr="00621330">
        <w:rPr>
          <w:rStyle w:val="Emphasis"/>
          <w:rFonts w:ascii="Times New Roman" w:hAnsi="Times New Roman" w:cs="Times New Roman"/>
          <w:b/>
          <w:bCs/>
          <w:sz w:val="26"/>
          <w:szCs w:val="26"/>
        </w:rPr>
        <w:t>3. Mức thuế suất 10% áp dụng đối với hàng hóa, dịch vụ không quy định tại khoản 1 và khoản 2 Điều này</w:t>
      </w:r>
      <w:r w:rsidR="00053D2C" w:rsidRPr="00621330">
        <w:rPr>
          <w:rStyle w:val="Emphasis"/>
          <w:rFonts w:ascii="Times New Roman" w:hAnsi="Times New Roman" w:cs="Times New Roman"/>
          <w:sz w:val="26"/>
          <w:szCs w:val="26"/>
        </w:rPr>
        <w:t>, bao gồm cả dịch vụ được các nhà cung cấp nước ngoài không có cơ sở thường trú tại Việt Nam cung cấp cho tổ chức, cá nhân tại Việt Nam qua kênh thương mại điện tử và các nền tảng số.</w:t>
      </w:r>
    </w:p>
    <w:p w14:paraId="074B091B" w14:textId="031EADF9" w:rsidR="0013646A" w:rsidRPr="0013646A" w:rsidRDefault="0013646A" w:rsidP="002B7675">
      <w:pPr>
        <w:pStyle w:val="NormalWeb"/>
        <w:spacing w:before="120" w:beforeAutospacing="0" w:after="120" w:afterAutospacing="0" w:line="360" w:lineRule="auto"/>
        <w:jc w:val="both"/>
        <w:rPr>
          <w:b/>
          <w:bCs/>
          <w:sz w:val="26"/>
          <w:szCs w:val="26"/>
          <w:lang w:val="vi-VN"/>
        </w:rPr>
      </w:pPr>
      <w:r w:rsidRPr="0013646A">
        <w:rPr>
          <w:b/>
          <w:bCs/>
          <w:sz w:val="26"/>
          <w:szCs w:val="26"/>
          <w:lang w:val="vi-VN"/>
        </w:rPr>
        <w:t xml:space="preserve">2. Chính sách giảm thuế GTGT </w:t>
      </w:r>
    </w:p>
    <w:p w14:paraId="1264F379" w14:textId="621FE89B" w:rsidR="00053D2C" w:rsidRPr="00621330" w:rsidRDefault="0013646A" w:rsidP="002B7675">
      <w:pPr>
        <w:pStyle w:val="NormalWeb"/>
        <w:spacing w:before="120" w:beforeAutospacing="0" w:after="120" w:afterAutospacing="0" w:line="360" w:lineRule="auto"/>
        <w:jc w:val="both"/>
        <w:rPr>
          <w:sz w:val="26"/>
          <w:szCs w:val="26"/>
        </w:rPr>
      </w:pPr>
      <w:r>
        <w:rPr>
          <w:sz w:val="26"/>
          <w:szCs w:val="26"/>
          <w:lang w:val="vi-VN"/>
        </w:rPr>
        <w:t>N</w:t>
      </w:r>
      <w:r w:rsidR="00053D2C" w:rsidRPr="00621330">
        <w:rPr>
          <w:sz w:val="26"/>
          <w:szCs w:val="26"/>
        </w:rPr>
        <w:t>gày 17/06/2025 Quốc Hội đã ban hành</w:t>
      </w:r>
      <w:r w:rsidR="00053D2C" w:rsidRPr="00621330">
        <w:rPr>
          <w:rStyle w:val="apple-converted-space"/>
          <w:sz w:val="26"/>
          <w:szCs w:val="26"/>
        </w:rPr>
        <w:t> </w:t>
      </w:r>
      <w:hyperlink r:id="rId6" w:tgtFrame="_blank" w:history="1">
        <w:r w:rsidR="00053D2C" w:rsidRPr="00621330">
          <w:rPr>
            <w:rStyle w:val="Hyperlink"/>
            <w:color w:val="0E70A4"/>
            <w:sz w:val="26"/>
            <w:szCs w:val="26"/>
          </w:rPr>
          <w:t>Nghị quyết 204/2025/QH15</w:t>
        </w:r>
      </w:hyperlink>
      <w:r w:rsidR="00053D2C" w:rsidRPr="00621330">
        <w:rPr>
          <w:rStyle w:val="apple-converted-space"/>
          <w:sz w:val="26"/>
          <w:szCs w:val="26"/>
        </w:rPr>
        <w:t> </w:t>
      </w:r>
      <w:r w:rsidR="00053D2C" w:rsidRPr="00621330">
        <w:rPr>
          <w:sz w:val="26"/>
          <w:szCs w:val="26"/>
        </w:rPr>
        <w:t>có hiệu lực từ ngày 01/07/2025 đến hết 31/12/2026 về chính sách giảm thuế GTGT.</w:t>
      </w:r>
    </w:p>
    <w:p w14:paraId="6FAEFA0A" w14:textId="57A6F122" w:rsidR="00053D2C" w:rsidRPr="00482B96" w:rsidRDefault="00053D2C" w:rsidP="002B7675">
      <w:pPr>
        <w:spacing w:before="120" w:after="120" w:line="360" w:lineRule="auto"/>
        <w:ind w:firstLine="720"/>
        <w:jc w:val="both"/>
        <w:rPr>
          <w:rFonts w:ascii="Times New Roman" w:hAnsi="Times New Roman" w:cs="Times New Roman"/>
          <w:color w:val="000000" w:themeColor="text1"/>
          <w:sz w:val="26"/>
          <w:szCs w:val="26"/>
        </w:rPr>
      </w:pPr>
      <w:r w:rsidRPr="00482B96">
        <w:rPr>
          <w:rStyle w:val="Emphasis"/>
          <w:rFonts w:ascii="Times New Roman" w:hAnsi="Times New Roman" w:cs="Times New Roman"/>
          <w:color w:val="000000" w:themeColor="text1"/>
          <w:sz w:val="26"/>
          <w:szCs w:val="26"/>
        </w:rPr>
        <w:t>Giảm 2% thuế suất thuế giá trị gia tăng, áp dụng đối với các nhóm hàng hóa, dịch vụ quy định tại khoản 3 Điều 9 của Luật Thuế giá trị gia tăng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w:t>
      </w:r>
    </w:p>
    <w:p w14:paraId="7A453BAA" w14:textId="77777777" w:rsidR="00053D2C" w:rsidRPr="00482B96" w:rsidRDefault="00053D2C" w:rsidP="002B7675">
      <w:pPr>
        <w:pStyle w:val="NormalWeb"/>
        <w:spacing w:before="120" w:beforeAutospacing="0" w:after="120" w:afterAutospacing="0" w:line="360" w:lineRule="auto"/>
        <w:jc w:val="both"/>
        <w:rPr>
          <w:color w:val="000000" w:themeColor="text1"/>
          <w:sz w:val="26"/>
          <w:szCs w:val="26"/>
        </w:rPr>
      </w:pPr>
      <w:r w:rsidRPr="00482B96">
        <w:rPr>
          <w:color w:val="000000" w:themeColor="text1"/>
          <w:sz w:val="26"/>
          <w:szCs w:val="26"/>
        </w:rPr>
        <w:lastRenderedPageBreak/>
        <w:t>Theo quy định trên thì những mặt hàng chịu mức thuế suất thuế GTGT 10% (trừ một số mặt hàng không được giảm thuế) sẽ được giảm 2% mức thuế suất còn 8%.</w:t>
      </w:r>
    </w:p>
    <w:p w14:paraId="4D0ECF69" w14:textId="77777777" w:rsidR="00053D2C" w:rsidRPr="00482B96" w:rsidRDefault="00053D2C" w:rsidP="002B7675">
      <w:pPr>
        <w:pStyle w:val="NormalWeb"/>
        <w:spacing w:before="120" w:beforeAutospacing="0" w:after="120" w:afterAutospacing="0" w:line="360" w:lineRule="auto"/>
        <w:jc w:val="both"/>
        <w:rPr>
          <w:color w:val="000000" w:themeColor="text1"/>
          <w:sz w:val="26"/>
          <w:szCs w:val="26"/>
        </w:rPr>
      </w:pPr>
      <w:r w:rsidRPr="00482B96">
        <w:rPr>
          <w:color w:val="000000" w:themeColor="text1"/>
          <w:sz w:val="26"/>
          <w:szCs w:val="26"/>
        </w:rPr>
        <w:t>Như vậy, thời điểm hiện tại có 4 mức thuế suất thuế GTGT gồm:</w:t>
      </w:r>
    </w:p>
    <w:p w14:paraId="4C37C34A" w14:textId="77777777" w:rsidR="00053D2C" w:rsidRPr="00482B96" w:rsidRDefault="00053D2C" w:rsidP="002B7675">
      <w:pPr>
        <w:pStyle w:val="NormalWeb"/>
        <w:spacing w:before="120" w:beforeAutospacing="0" w:after="120" w:afterAutospacing="0" w:line="360" w:lineRule="auto"/>
        <w:jc w:val="both"/>
        <w:rPr>
          <w:color w:val="000000" w:themeColor="text1"/>
          <w:sz w:val="26"/>
          <w:szCs w:val="26"/>
        </w:rPr>
      </w:pPr>
      <w:r w:rsidRPr="00482B96">
        <w:rPr>
          <w:color w:val="000000" w:themeColor="text1"/>
          <w:sz w:val="26"/>
          <w:szCs w:val="26"/>
        </w:rPr>
        <w:t>- Mức thuế suất 0%</w:t>
      </w:r>
    </w:p>
    <w:p w14:paraId="124BC70D" w14:textId="77777777" w:rsidR="00053D2C" w:rsidRPr="00482B96" w:rsidRDefault="00053D2C" w:rsidP="002B7675">
      <w:pPr>
        <w:pStyle w:val="NormalWeb"/>
        <w:spacing w:before="120" w:beforeAutospacing="0" w:after="120" w:afterAutospacing="0" w:line="360" w:lineRule="auto"/>
        <w:jc w:val="both"/>
        <w:rPr>
          <w:color w:val="000000" w:themeColor="text1"/>
          <w:sz w:val="26"/>
          <w:szCs w:val="26"/>
        </w:rPr>
      </w:pPr>
      <w:r w:rsidRPr="00482B96">
        <w:rPr>
          <w:color w:val="000000" w:themeColor="text1"/>
          <w:sz w:val="26"/>
          <w:szCs w:val="26"/>
        </w:rPr>
        <w:t>- Mức thuế suất 5%</w:t>
      </w:r>
    </w:p>
    <w:p w14:paraId="001FF70C" w14:textId="77777777" w:rsidR="00053D2C" w:rsidRPr="00482B96" w:rsidRDefault="00053D2C" w:rsidP="002B7675">
      <w:pPr>
        <w:pStyle w:val="NormalWeb"/>
        <w:spacing w:before="120" w:beforeAutospacing="0" w:after="120" w:afterAutospacing="0" w:line="360" w:lineRule="auto"/>
        <w:jc w:val="both"/>
        <w:rPr>
          <w:color w:val="000000" w:themeColor="text1"/>
          <w:sz w:val="26"/>
          <w:szCs w:val="26"/>
        </w:rPr>
      </w:pPr>
      <w:r w:rsidRPr="00482B96">
        <w:rPr>
          <w:color w:val="000000" w:themeColor="text1"/>
          <w:sz w:val="26"/>
          <w:szCs w:val="26"/>
        </w:rPr>
        <w:t>- Mức thuế suất 8% (có hiệu lực từ 01/07/2025 đến ngày 31/12/2026)</w:t>
      </w:r>
    </w:p>
    <w:p w14:paraId="6555391C" w14:textId="77777777" w:rsidR="00053D2C" w:rsidRPr="00482B96" w:rsidRDefault="00053D2C" w:rsidP="002B7675">
      <w:pPr>
        <w:pStyle w:val="NormalWeb"/>
        <w:spacing w:before="120" w:beforeAutospacing="0" w:after="120" w:afterAutospacing="0" w:line="360" w:lineRule="auto"/>
        <w:jc w:val="both"/>
        <w:rPr>
          <w:color w:val="000000" w:themeColor="text1"/>
          <w:sz w:val="26"/>
          <w:szCs w:val="26"/>
        </w:rPr>
      </w:pPr>
      <w:r w:rsidRPr="00482B96">
        <w:rPr>
          <w:color w:val="000000" w:themeColor="text1"/>
          <w:sz w:val="26"/>
          <w:szCs w:val="26"/>
        </w:rPr>
        <w:t>- Mức thuế suất 10%.</w:t>
      </w:r>
    </w:p>
    <w:p w14:paraId="7CB351DD" w14:textId="77777777" w:rsidR="00053D2C" w:rsidRPr="00482B96" w:rsidRDefault="00053D2C" w:rsidP="002B7675">
      <w:pPr>
        <w:spacing w:before="120" w:after="120" w:line="360" w:lineRule="auto"/>
        <w:jc w:val="both"/>
        <w:rPr>
          <w:rFonts w:ascii="Times New Roman" w:hAnsi="Times New Roman" w:cs="Times New Roman"/>
          <w:color w:val="000000" w:themeColor="text1"/>
          <w:sz w:val="26"/>
          <w:szCs w:val="26"/>
        </w:rPr>
      </w:pPr>
    </w:p>
    <w:sectPr w:rsidR="00053D2C" w:rsidRPr="00482B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66EA"/>
    <w:multiLevelType w:val="multilevel"/>
    <w:tmpl w:val="DF2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0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2C"/>
    <w:rsid w:val="00053D2C"/>
    <w:rsid w:val="0013646A"/>
    <w:rsid w:val="002B7675"/>
    <w:rsid w:val="003B40D3"/>
    <w:rsid w:val="00482B96"/>
    <w:rsid w:val="00621330"/>
    <w:rsid w:val="00CE461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DA9EF0F"/>
  <w15:chartTrackingRefBased/>
  <w15:docId w15:val="{536E3285-A522-6344-A463-FF88904A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3D2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3D2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3D2C"/>
    <w:rPr>
      <w:rFonts w:ascii="Times New Roman" w:eastAsia="Times New Roman" w:hAnsi="Times New Roman" w:cs="Times New Roman"/>
      <w:b/>
      <w:bCs/>
      <w:sz w:val="36"/>
      <w:szCs w:val="36"/>
    </w:rPr>
  </w:style>
  <w:style w:type="character" w:styleId="Strong">
    <w:name w:val="Strong"/>
    <w:basedOn w:val="DefaultParagraphFont"/>
    <w:uiPriority w:val="22"/>
    <w:qFormat/>
    <w:rsid w:val="00053D2C"/>
    <w:rPr>
      <w:b/>
      <w:bCs/>
    </w:rPr>
  </w:style>
  <w:style w:type="character" w:styleId="Hyperlink">
    <w:name w:val="Hyperlink"/>
    <w:basedOn w:val="DefaultParagraphFont"/>
    <w:uiPriority w:val="99"/>
    <w:semiHidden/>
    <w:unhideWhenUsed/>
    <w:rsid w:val="00053D2C"/>
    <w:rPr>
      <w:color w:val="0000FF"/>
      <w:u w:val="single"/>
    </w:rPr>
  </w:style>
  <w:style w:type="paragraph" w:styleId="NormalWeb">
    <w:name w:val="Normal (Web)"/>
    <w:basedOn w:val="Normal"/>
    <w:uiPriority w:val="99"/>
    <w:semiHidden/>
    <w:unhideWhenUsed/>
    <w:rsid w:val="00053D2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53D2C"/>
  </w:style>
  <w:style w:type="character" w:customStyle="1" w:styleId="btn-info-ads">
    <w:name w:val="btn-info-ads"/>
    <w:basedOn w:val="DefaultParagraphFont"/>
    <w:rsid w:val="00053D2C"/>
  </w:style>
  <w:style w:type="character" w:styleId="Emphasis">
    <w:name w:val="Emphasis"/>
    <w:basedOn w:val="DefaultParagraphFont"/>
    <w:uiPriority w:val="20"/>
    <w:qFormat/>
    <w:rsid w:val="00053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3580">
      <w:bodyDiv w:val="1"/>
      <w:marLeft w:val="0"/>
      <w:marRight w:val="0"/>
      <w:marTop w:val="0"/>
      <w:marBottom w:val="0"/>
      <w:divBdr>
        <w:top w:val="none" w:sz="0" w:space="0" w:color="auto"/>
        <w:left w:val="none" w:sz="0" w:space="0" w:color="auto"/>
        <w:bottom w:val="none" w:sz="0" w:space="0" w:color="auto"/>
        <w:right w:val="none" w:sz="0" w:space="0" w:color="auto"/>
      </w:divBdr>
      <w:divsChild>
        <w:div w:id="158329850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288010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594105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8272715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4219950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9108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094123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6701857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738643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362925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7963135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115580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959043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85560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423486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5520077">
          <w:marLeft w:val="0"/>
          <w:marRight w:val="0"/>
          <w:marTop w:val="225"/>
          <w:marBottom w:val="225"/>
          <w:divBdr>
            <w:top w:val="none" w:sz="0" w:space="0" w:color="auto"/>
            <w:left w:val="none" w:sz="0" w:space="0" w:color="auto"/>
            <w:bottom w:val="none" w:sz="0" w:space="0" w:color="auto"/>
            <w:right w:val="none" w:sz="0" w:space="0" w:color="auto"/>
          </w:divBdr>
          <w:divsChild>
            <w:div w:id="1585142000">
              <w:marLeft w:val="0"/>
              <w:marRight w:val="0"/>
              <w:marTop w:val="0"/>
              <w:marBottom w:val="75"/>
              <w:divBdr>
                <w:top w:val="none" w:sz="0" w:space="0" w:color="auto"/>
                <w:left w:val="none" w:sz="0" w:space="0" w:color="auto"/>
                <w:bottom w:val="single" w:sz="6" w:space="2" w:color="EEEEEE"/>
                <w:right w:val="none" w:sz="0" w:space="0" w:color="auto"/>
              </w:divBdr>
              <w:divsChild>
                <w:div w:id="1705985421">
                  <w:marLeft w:val="0"/>
                  <w:marRight w:val="0"/>
                  <w:marTop w:val="0"/>
                  <w:marBottom w:val="0"/>
                  <w:divBdr>
                    <w:top w:val="none" w:sz="0" w:space="0" w:color="auto"/>
                    <w:left w:val="none" w:sz="0" w:space="0" w:color="auto"/>
                    <w:bottom w:val="none" w:sz="0" w:space="0" w:color="auto"/>
                    <w:right w:val="none" w:sz="0" w:space="0" w:color="auto"/>
                  </w:divBdr>
                </w:div>
                <w:div w:id="15911618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254903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1693378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Child>
        </w:div>
      </w:divsChild>
    </w:div>
    <w:div w:id="1807358156">
      <w:bodyDiv w:val="1"/>
      <w:marLeft w:val="0"/>
      <w:marRight w:val="0"/>
      <w:marTop w:val="0"/>
      <w:marBottom w:val="0"/>
      <w:divBdr>
        <w:top w:val="none" w:sz="0" w:space="0" w:color="auto"/>
        <w:left w:val="none" w:sz="0" w:space="0" w:color="auto"/>
        <w:bottom w:val="none" w:sz="0" w:space="0" w:color="auto"/>
        <w:right w:val="none" w:sz="0" w:space="0" w:color="auto"/>
      </w:divBdr>
      <w:divsChild>
        <w:div w:id="594553759">
          <w:marLeft w:val="0"/>
          <w:marRight w:val="0"/>
          <w:marTop w:val="0"/>
          <w:marBottom w:val="225"/>
          <w:divBdr>
            <w:top w:val="none" w:sz="0" w:space="0" w:color="auto"/>
            <w:left w:val="none" w:sz="0" w:space="0" w:color="auto"/>
            <w:bottom w:val="none" w:sz="0" w:space="0" w:color="auto"/>
            <w:right w:val="none" w:sz="0" w:space="0" w:color="auto"/>
          </w:divBdr>
          <w:divsChild>
            <w:div w:id="745999418">
              <w:marLeft w:val="0"/>
              <w:marRight w:val="0"/>
              <w:marTop w:val="0"/>
              <w:marBottom w:val="0"/>
              <w:divBdr>
                <w:top w:val="none" w:sz="0" w:space="0" w:color="auto"/>
                <w:left w:val="none" w:sz="0" w:space="0" w:color="auto"/>
                <w:bottom w:val="none" w:sz="0" w:space="0" w:color="auto"/>
                <w:right w:val="none" w:sz="0" w:space="0" w:color="auto"/>
              </w:divBdr>
              <w:divsChild>
                <w:div w:id="310907533">
                  <w:marLeft w:val="0"/>
                  <w:marRight w:val="0"/>
                  <w:marTop w:val="0"/>
                  <w:marBottom w:val="0"/>
                  <w:divBdr>
                    <w:top w:val="none" w:sz="0" w:space="0" w:color="auto"/>
                    <w:left w:val="none" w:sz="0" w:space="0" w:color="auto"/>
                    <w:bottom w:val="none" w:sz="0" w:space="0" w:color="auto"/>
                    <w:right w:val="none" w:sz="0" w:space="0" w:color="auto"/>
                  </w:divBdr>
                  <w:divsChild>
                    <w:div w:id="1088501591">
                      <w:marLeft w:val="0"/>
                      <w:marRight w:val="0"/>
                      <w:marTop w:val="0"/>
                      <w:marBottom w:val="0"/>
                      <w:divBdr>
                        <w:top w:val="none" w:sz="0" w:space="0" w:color="auto"/>
                        <w:left w:val="none" w:sz="0" w:space="0" w:color="auto"/>
                        <w:bottom w:val="none" w:sz="0" w:space="0" w:color="auto"/>
                        <w:right w:val="none" w:sz="0" w:space="0" w:color="auto"/>
                      </w:divBdr>
                    </w:div>
                  </w:divsChild>
                </w:div>
                <w:div w:id="1646592101">
                  <w:marLeft w:val="0"/>
                  <w:marRight w:val="0"/>
                  <w:marTop w:val="0"/>
                  <w:marBottom w:val="0"/>
                  <w:divBdr>
                    <w:top w:val="none" w:sz="0" w:space="0" w:color="auto"/>
                    <w:left w:val="none" w:sz="0" w:space="0" w:color="auto"/>
                    <w:bottom w:val="none" w:sz="0" w:space="0" w:color="auto"/>
                    <w:right w:val="none" w:sz="0" w:space="0" w:color="auto"/>
                  </w:divBdr>
                  <w:divsChild>
                    <w:div w:id="1526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88183">
          <w:marLeft w:val="0"/>
          <w:marRight w:val="0"/>
          <w:marTop w:val="225"/>
          <w:marBottom w:val="225"/>
          <w:divBdr>
            <w:top w:val="none" w:sz="0" w:space="0" w:color="auto"/>
            <w:left w:val="none" w:sz="0" w:space="0" w:color="auto"/>
            <w:bottom w:val="none" w:sz="0" w:space="0" w:color="auto"/>
            <w:right w:val="none" w:sz="0" w:space="0" w:color="auto"/>
          </w:divBdr>
          <w:divsChild>
            <w:div w:id="386874921">
              <w:marLeft w:val="0"/>
              <w:marRight w:val="0"/>
              <w:marTop w:val="0"/>
              <w:marBottom w:val="75"/>
              <w:divBdr>
                <w:top w:val="none" w:sz="0" w:space="0" w:color="auto"/>
                <w:left w:val="none" w:sz="0" w:space="0" w:color="auto"/>
                <w:bottom w:val="single" w:sz="6" w:space="2" w:color="EEEEEE"/>
                <w:right w:val="none" w:sz="0" w:space="0" w:color="auto"/>
              </w:divBdr>
              <w:divsChild>
                <w:div w:id="365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Nghi-quyet-204-2025-QH15-giam-thue-gia-tri-gia-tang-662685.aspx" TargetMode="External"/><Relationship Id="rId5" Type="http://schemas.openxmlformats.org/officeDocument/2006/relationships/hyperlink" Target="https://thuvienphapluat.vn/van-ban/Thue-Phi-Le-Phi/Luat-Thue-gia-tri-gia-tang-2024-so-48-2024-QH15-556390.aspx?anchor=dieu_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2026-05-13T09:25:00Z</dcterms:created>
  <dcterms:modified xsi:type="dcterms:W3CDTF">2026-05-26T01:32:00Z</dcterms:modified>
</cp:coreProperties>
</file>