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545BE" w14:textId="77777777" w:rsidR="00B6607F" w:rsidRPr="00B6607F" w:rsidRDefault="00B6607F" w:rsidP="00B6607F">
      <w:pPr>
        <w:jc w:val="center"/>
        <w:rPr>
          <w:rFonts w:ascii="Times New Roman" w:hAnsi="Times New Roman" w:cs="Times New Roman"/>
        </w:rPr>
      </w:pPr>
      <w:r w:rsidRPr="00B6607F">
        <w:rPr>
          <w:rFonts w:ascii="Times New Roman" w:hAnsi="Times New Roman" w:cs="Times New Roman"/>
        </w:rPr>
        <w:t xml:space="preserve">Công </w:t>
      </w:r>
      <w:proofErr w:type="spellStart"/>
      <w:r w:rsidRPr="00B6607F">
        <w:rPr>
          <w:rFonts w:ascii="Times New Roman" w:hAnsi="Times New Roman" w:cs="Times New Roman"/>
        </w:rPr>
        <w:t>văn</w:t>
      </w:r>
      <w:proofErr w:type="spellEnd"/>
      <w:r w:rsidRPr="00B6607F">
        <w:rPr>
          <w:rFonts w:ascii="Times New Roman" w:hAnsi="Times New Roman" w:cs="Times New Roman"/>
        </w:rPr>
        <w:t xml:space="preserve"> 3897: </w:t>
      </w:r>
      <w:proofErr w:type="spellStart"/>
      <w:r w:rsidRPr="00B6607F">
        <w:rPr>
          <w:rFonts w:ascii="Times New Roman" w:hAnsi="Times New Roman" w:cs="Times New Roman"/>
        </w:rPr>
        <w:t>Những</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trường</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hợp</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doanh</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nghiệp</w:t>
      </w:r>
      <w:proofErr w:type="spellEnd"/>
      <w:r w:rsidRPr="00B6607F">
        <w:rPr>
          <w:rFonts w:ascii="Times New Roman" w:hAnsi="Times New Roman" w:cs="Times New Roman"/>
        </w:rPr>
        <w:t xml:space="preserve"> FDI </w:t>
      </w:r>
      <w:proofErr w:type="spellStart"/>
      <w:r w:rsidRPr="00B6607F">
        <w:rPr>
          <w:rFonts w:ascii="Times New Roman" w:hAnsi="Times New Roman" w:cs="Times New Roman"/>
        </w:rPr>
        <w:t>được</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miễn</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thuế</w:t>
      </w:r>
      <w:proofErr w:type="spellEnd"/>
      <w:r w:rsidRPr="00B6607F">
        <w:rPr>
          <w:rFonts w:ascii="Times New Roman" w:hAnsi="Times New Roman" w:cs="Times New Roman"/>
        </w:rPr>
        <w:t xml:space="preserve"> TNDN </w:t>
      </w:r>
      <w:proofErr w:type="spellStart"/>
      <w:r w:rsidRPr="00B6607F">
        <w:rPr>
          <w:rFonts w:ascii="Times New Roman" w:hAnsi="Times New Roman" w:cs="Times New Roman"/>
        </w:rPr>
        <w:t>trong</w:t>
      </w:r>
      <w:proofErr w:type="spellEnd"/>
      <w:r w:rsidRPr="00B6607F">
        <w:rPr>
          <w:rFonts w:ascii="Times New Roman" w:hAnsi="Times New Roman" w:cs="Times New Roman"/>
        </w:rPr>
        <w:t xml:space="preserve"> 3 </w:t>
      </w:r>
      <w:proofErr w:type="spellStart"/>
      <w:r w:rsidRPr="00B6607F">
        <w:rPr>
          <w:rFonts w:ascii="Times New Roman" w:hAnsi="Times New Roman" w:cs="Times New Roman"/>
        </w:rPr>
        <w:t>năm</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đầu</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hoạt</w:t>
      </w:r>
      <w:proofErr w:type="spellEnd"/>
      <w:r w:rsidRPr="00B6607F">
        <w:rPr>
          <w:rFonts w:ascii="Times New Roman" w:hAnsi="Times New Roman" w:cs="Times New Roman"/>
        </w:rPr>
        <w:t xml:space="preserve"> </w:t>
      </w:r>
      <w:proofErr w:type="spellStart"/>
      <w:r w:rsidRPr="00B6607F">
        <w:rPr>
          <w:rFonts w:ascii="Times New Roman" w:hAnsi="Times New Roman" w:cs="Times New Roman"/>
        </w:rPr>
        <w:t>động</w:t>
      </w:r>
      <w:proofErr w:type="spellEnd"/>
    </w:p>
    <w:p w14:paraId="46804978"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Chính sách miễn thuế thu nhập doanh nghiệp cho doanh nghiệp nhỏ và vừa thành lập mới tiếp tục nhận được nhiều sự quan tâm từ khối doanh nghiệp có vốn đầu tư nước ngoài (FDI). Theo hướng dẫn tại Công văn 3897/CT-CS, doanh nghiệp FDI vẫn có thể được hưởng ưu đãi miễn </w:t>
      </w:r>
      <w:hyperlink r:id="rId4" w:tgtFrame="_blank" w:history="1">
        <w:r w:rsidRPr="00B6607F">
          <w:rPr>
            <w:rStyle w:val="Hyperlink"/>
            <w:rFonts w:ascii="Times New Roman" w:hAnsi="Times New Roman" w:cs="Times New Roman"/>
            <w:color w:val="auto"/>
            <w:u w:val="none"/>
            <w:lang w:val="vi-VN"/>
          </w:rPr>
          <w:t>thuế TNDN</w:t>
        </w:r>
      </w:hyperlink>
      <w:r w:rsidRPr="00B6607F">
        <w:rPr>
          <w:rFonts w:ascii="Times New Roman" w:hAnsi="Times New Roman" w:cs="Times New Roman"/>
          <w:lang w:val="vi-VN"/>
        </w:rPr>
        <w:t> 3 năm nếu đáp ứng đầy đủ điều kiện theo quy định và không thuộc các trường hợp bị loại trừ khỏi chính sách hỗ trợ này.</w:t>
      </w:r>
    </w:p>
    <w:p w14:paraId="774E4ABD"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1. Công văn 3897/CT-CS: Doanh nghiệp FDI vẫn được xem xét miễn thuế TNDN 3 năm đầu</w:t>
      </w:r>
    </w:p>
    <w:p w14:paraId="5B2B3E16"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Cục Thuế vừa ban hành Công văn 3897/CT-CS ngày 11/6/2026, làm rõ việc áp dụng chính sách miễn thuế thu nhập doanh nghiệp đối với doanh nghiệp có vốn đầu tư nước ngoài (FDI).</w:t>
      </w:r>
    </w:p>
    <w:p w14:paraId="24F9BF2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Theo nội dung công văn, Cục Thuế dừng thực hiện hướng dẫn tại Công văn 2169/TPHCM-QLDN3 ngày 09/3/2026 về việc doanh nghiệp FDI không được miễn thuế TNDN 3 năm đầu hoạt động.</w:t>
      </w:r>
    </w:p>
    <w:p w14:paraId="1C277AB0"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Thay vào đó, cơ quan thuế khẳng định doanh nghiệp FDI không đương nhiên bị loại khỏi chính sách miễn thuế TNDN. Việc được hưởng ưu đãi hay không sẽ được xem xét căn cứ vào các điều kiện cụ thể theo quy định của pháp luật về hỗ trợ doanh nghiệp nhỏ và vừa và pháp luật thuế hiện hành.</w:t>
      </w:r>
    </w:p>
    <w:p w14:paraId="319A6FE8"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Như vậy, Công văn 3897/CT-CS đã tháo gỡ vướng mắc trong quá trình áp dụng chính sách, đồng thời mở đường để doanh nghiệp FDI đủ điều kiện tiếp tục được hưởng ưu đãi </w:t>
      </w:r>
      <w:hyperlink r:id="rId5" w:tgtFrame="_blank" w:history="1">
        <w:r w:rsidRPr="00B6607F">
          <w:rPr>
            <w:rStyle w:val="Hyperlink"/>
            <w:rFonts w:ascii="Times New Roman" w:hAnsi="Times New Roman" w:cs="Times New Roman"/>
            <w:color w:val="auto"/>
            <w:u w:val="none"/>
            <w:lang w:val="vi-VN"/>
          </w:rPr>
          <w:t>miễn thuế TNDN</w:t>
        </w:r>
      </w:hyperlink>
      <w:r w:rsidRPr="00B6607F">
        <w:rPr>
          <w:rFonts w:ascii="Times New Roman" w:hAnsi="Times New Roman" w:cs="Times New Roman"/>
          <w:lang w:val="vi-VN"/>
        </w:rPr>
        <w:t> trong 3 năm đầu kể từ khi thành lập.</w:t>
      </w:r>
    </w:p>
    <w:p w14:paraId="0CC3D314"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2. Doanh nghiệp FDI cần đáp ứng những điều kiện nào để được miễn thuế TNDN 3 năm?</w:t>
      </w:r>
    </w:p>
    <w:p w14:paraId="50C11699"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Theo Công văn 3897/CT-CS, doanh nghiệp FDI không bị loại khỏi chính sách miễn thuế TNDN 3 năm đầu. Tuy nhiên, để được hưởng ưu đãi này, doanh nghiệp phải đáp ứng đầy đủ các điều kiện theo </w:t>
      </w:r>
      <w:hyperlink r:id="rId6" w:tgtFrame="_blank" w:history="1">
        <w:r w:rsidRPr="00B6607F">
          <w:rPr>
            <w:rStyle w:val="Hyperlink"/>
            <w:rFonts w:ascii="Times New Roman" w:hAnsi="Times New Roman" w:cs="Times New Roman"/>
            <w:color w:val="auto"/>
            <w:u w:val="none"/>
            <w:lang w:val="vi-VN"/>
          </w:rPr>
          <w:t>Nghị định 20/2026/NĐ-CP</w:t>
        </w:r>
      </w:hyperlink>
      <w:r w:rsidRPr="00B6607F">
        <w:rPr>
          <w:rFonts w:ascii="Times New Roman" w:hAnsi="Times New Roman" w:cs="Times New Roman"/>
          <w:lang w:val="vi-VN"/>
        </w:rPr>
        <w:t> và quy định về doanh nghiệp nhỏ và vừa.</w:t>
      </w:r>
    </w:p>
    <w:p w14:paraId="1A8CDD1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Điều kiện 1: Là doanh nghiệp nhỏ và vừa được thành lập theo pháp luật Việt Nam</w:t>
      </w:r>
    </w:p>
    <w:p w14:paraId="290AE90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Doanh nghiệp có vốn đầu tư nước ngoài phải được thành lập và hoạt động theo quy định của pháp luật Việt Nam, đồng thời đáp ứng tiêu chí doanh nghiệp siêu nhỏ, doanh nghiệp nhỏ hoặc doanh nghiệp vừa theo Điều 5 Nghị định 80/2021/NĐ-CP.</w:t>
      </w:r>
    </w:p>
    <w:p w14:paraId="229B001F"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Một số tiêu chí chính gồm:</w:t>
      </w:r>
    </w:p>
    <w:p w14:paraId="2F6076C9"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Doanh nghiệp siêu nhỏ:</w:t>
      </w:r>
    </w:p>
    <w:p w14:paraId="22B9C879"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Nông nghiệp, lâm nghiệp, thủy sản; công nghiệp, xây dựng: Doanh thu hoặc nguồn vốn không quá 3 tỷ đồng, lao động tham gia BHXH bình quân năm không quá 10 người.</w:t>
      </w:r>
    </w:p>
    <w:p w14:paraId="4C4CA06D"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Thương mại, dịch vụ: Doanh thu không quá 10 tỷ đồng hoặc nguồn vốn không quá 3 tỷ đồng, lao động tham gia BHXH bình quân năm không quá 10 người.</w:t>
      </w:r>
    </w:p>
    <w:p w14:paraId="32B3409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lastRenderedPageBreak/>
        <w:t>Doanh nghiệp nhỏ:</w:t>
      </w:r>
    </w:p>
    <w:p w14:paraId="21C226F8"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Nông nghiệp, lâm nghiệp, thủy sản; công nghiệp, xây dựng: Doanh thu không quá 50 tỷ đồng hoặc nguồn vốn không quá 20 tỷ đồng; lao động không quá 100 người.</w:t>
      </w:r>
    </w:p>
    <w:p w14:paraId="305DB576"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Thương mại, dịch vụ: Doanh thu không quá 100 tỷ đồng hoặc nguồn vốn không quá 50 tỷ đồng; lao động không quá 50 người.</w:t>
      </w:r>
    </w:p>
    <w:p w14:paraId="160740A5"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Doanh nghiệp vừa:</w:t>
      </w:r>
    </w:p>
    <w:p w14:paraId="2F47A613"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Nông nghiệp, lâm nghiệp, thủy sản; công nghiệp, xây dựng: Doanh thu không quá 200 tỷ đồng hoặc nguồn vốn không quá 100 tỷ đồng; lao động không quá 200 người.</w:t>
      </w:r>
    </w:p>
    <w:p w14:paraId="6ABB0037"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Thương mại, dịch vụ: Doanh thu không quá 300 tỷ đồng hoặc nguồn vốn không quá 100 tỷ đồng; lao động không quá 100 người.</w:t>
      </w:r>
    </w:p>
    <w:p w14:paraId="23042B9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Điều kiện 2: Là doanh nghiệp được cấp Giấy chứng nhận đăng ký doanh nghiệp lần đầu</w:t>
      </w:r>
    </w:p>
    <w:p w14:paraId="720982D1"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Chính sách ưu đãi chỉ áp dụng đối với doanh nghiệp nhỏ và vừa được cấp Giấy chứng nhận đăng ký doanh nghiệp lần đầu theo quy định.</w:t>
      </w:r>
    </w:p>
    <w:p w14:paraId="71EC7DE4"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Thời gian miễn thuế được tính trong 3 năm liên tục kể từ thời điểm doanh nghiệp được cấp Giấy chứng nhận đăng ký doanh nghiệp lần đầu.</w:t>
      </w:r>
    </w:p>
    <w:p w14:paraId="18A6784F"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Điều kiện 3: Không thuộc trường hợp bị loại trừ ưu đãi</w:t>
      </w:r>
    </w:p>
    <w:p w14:paraId="45623881"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Theo điểm b khoản 3 Điều 7 Nghị định 20/2026/NĐ-CP, doanh nghiệp sẽ không được áp dụng chính sách miễn thuế TNDN 3 năm đầu nếu thuộc một trong các trường hợp sau:</w:t>
      </w:r>
    </w:p>
    <w:p w14:paraId="641E837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Thành lập mới do sáp nhập, hợp nhất, chia, tách, chuyển đổi chủ sở hữu hoặc chuyển đổi loại hình doanh nghiệp.</w:t>
      </w:r>
    </w:p>
    <w:p w14:paraId="01A6DEA1"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Người đại diện theo pháp luật, thành viên hợp danh hoặc cá nhân sở hữu phần vốn góp lớn nhất đã tham gia điều hành doanh nghiệp khác đang hoạt động hoặc đã giải thể chưa đủ 12 tháng.</w:t>
      </w:r>
    </w:p>
    <w:p w14:paraId="79B76AE6"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Các khoản thu nhập thuộc diện không được miễn thuế theo Khoản 3, Điều 18, </w:t>
      </w:r>
      <w:hyperlink r:id="rId7" w:tgtFrame="_blank" w:history="1">
        <w:r w:rsidRPr="00B6607F">
          <w:rPr>
            <w:rStyle w:val="Hyperlink"/>
            <w:rFonts w:ascii="Times New Roman" w:hAnsi="Times New Roman" w:cs="Times New Roman"/>
            <w:color w:val="auto"/>
            <w:u w:val="none"/>
            <w:lang w:val="vi-VN"/>
          </w:rPr>
          <w:t>Luật Thuế thu nhập doanh nghiệp 2025</w:t>
        </w:r>
      </w:hyperlink>
      <w:r w:rsidRPr="00B6607F">
        <w:rPr>
          <w:rFonts w:ascii="Times New Roman" w:hAnsi="Times New Roman" w:cs="Times New Roman"/>
          <w:lang w:val="vi-VN"/>
        </w:rPr>
        <w:t>.</w:t>
      </w:r>
    </w:p>
    <w:p w14:paraId="0C8D0467"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Như vậy, doanh nghiệp FDI vẫn có thể được miễn thuế TNDN trong 3 năm đầu kể từ khi thành lập nếu đồng thời đáp ứng tiêu chí doanh nghiệp nhỏ và vừa, được cấp đăng ký doanh nghiệp lần đầu và không thuộc các trường hợp bị loại trừ theo quy định hiện hành.</w:t>
      </w:r>
    </w:p>
    <w:p w14:paraId="18EE9267"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3. Doanh nghiệp FDI thành lập năm nào được hưởng ưu đãi miễn thuế TNDN 3 năm?</w:t>
      </w:r>
    </w:p>
    <w:p w14:paraId="5BB38EED"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hời gian miễn thuế TNDN không căn cứ vào việc doanh nghiệp có vốn đầu tư nước ngoài (FDI) hay không, mà được xác định theo thời điểm cấp Giấy chứng nhận đăng ký doanh nghiệp lần đầu và việc doanh nghiệp còn nằm trong thời hạn ưu đãi hay không.</w:t>
      </w:r>
    </w:p>
    <w:p w14:paraId="127F0CBE"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lastRenderedPageBreak/>
        <w:t>Theo Điểm a, Khoản 3, Điều 7 Nghị định 20/2026/NĐ-CP, doanh nghiệp nhỏ và vừa mới thành lập được miễn thuế TNDN trong 03 năm liên tục kể từ ngày được cấp Giấy chứng nhận đăng ký doanh nghiệp lần đầu.</w:t>
      </w:r>
    </w:p>
    <w:p w14:paraId="2F18850E"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Một số trường hợp cần lưu ý:</w:t>
      </w:r>
    </w:p>
    <w:p w14:paraId="5AB52E1F"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Doanh nghiệp thành lập từ năm 2025 trở đi và đáp ứng đầy đủ điều kiện sẽ được áp dụng trọn vẹn chính sách miễn thuế TNDN trong 03 năm đầu.</w:t>
      </w:r>
    </w:p>
    <w:p w14:paraId="73B73267"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Doanh nghiệp thành lập trước ngày 17/5/2025 vẫn có thể được hưởng ưu đãi nếu đến thời điểm chính sách có hiệu lực vẫn còn trong giai đoạn 03 năm đầu kể từ ngày thành lập.</w:t>
      </w:r>
    </w:p>
    <w:p w14:paraId="56157CC6"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Doanh nghiệp thành lập năm 2024 nếu đáp ứng điều kiện có thể được miễn thuế đối với các kỳ tính thuế còn lại trong thời gian ưu đãi, chẳng hạn năm 2025 và năm 2026.</w:t>
      </w:r>
    </w:p>
    <w:p w14:paraId="11608C61"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Để xác định chính xác thời gian được miễn thuế, doanh nghiệp cần đối chiếu với ngày cấp Giấy chứng nhận đăng ký doanh nghiệp lần đầu:</w:t>
      </w:r>
    </w:p>
    <w:p w14:paraId="3FF60D8D"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Nếu đến kỳ tính thuế năm 2026 doanh nghiệp vẫn chưa hết 03 năm đầu hoạt động, thì được tiếp tục áp dụng miễn thuế cho thời gian còn lại.</w:t>
      </w:r>
    </w:p>
    <w:p w14:paraId="5D72A96C"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 Nếu 03 năm đầu thành lập đã kết thúc trước năm 2026, doanh nghiệp không thuộc diện được hưởng chính sách miễn thuế TNDN theo quy định này.</w:t>
      </w:r>
    </w:p>
    <w:p w14:paraId="12DA6DDA"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Như vậy, yếu tố quyết định không phải là doanh nghiệp được thành lập vào năm nào, mà là doanh nghiệp có còn nằm trong thời gian ưu đãi 03 năm đầu và đáp ứng đầy đủ các điều kiện theo Nghị định 20/2026/NĐ-CP hay không.</w:t>
      </w:r>
    </w:p>
    <w:p w14:paraId="60B500F6"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Công văn 3897/CT-CS đã làm rõ việc doanh nghiệp FDI không bị loại khỏi chính sách miễn thuế TNDN 3 năm đầu chỉ vì có vốn đầu tư nước ngoài.</w:t>
      </w:r>
    </w:p>
    <w:p w14:paraId="1AF2C31F"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Nếu được thành lập lần đầu theo pháp luật Việt Nam, đáp ứng tiêu chí doanh nghiệp nhỏ và vừa, đồng thời không thuộc các trường hợp bị loại trừ theo Nghị định 20/2026/NĐ-CP, doanh nghiệp vẫn có thể hưởng ưu đãi miễn thuế TNDN trong thời gian còn lại của 3 năm đầu hoạt động.</w:t>
      </w:r>
    </w:p>
    <w:p w14:paraId="6E34495C" w14:textId="77777777" w:rsidR="00B6607F" w:rsidRPr="00B6607F" w:rsidRDefault="00B6607F" w:rsidP="00B6607F">
      <w:pPr>
        <w:jc w:val="both"/>
        <w:rPr>
          <w:rFonts w:ascii="Times New Roman" w:hAnsi="Times New Roman" w:cs="Times New Roman"/>
        </w:rPr>
      </w:pPr>
      <w:r w:rsidRPr="00B6607F">
        <w:rPr>
          <w:rFonts w:ascii="Times New Roman" w:hAnsi="Times New Roman" w:cs="Times New Roman"/>
          <w:lang w:val="vi-VN"/>
        </w:rPr>
        <w:t>Vì vậy, doanh nghiệp cần rà soát kỹ điều kiện pháp lý, thời điểm thành lập và quy mô hoạt động để xác định chính xác quyền lợi thuế được áp dụng.</w:t>
      </w:r>
    </w:p>
    <w:p w14:paraId="06EE15A6" w14:textId="77777777" w:rsidR="00B6607F" w:rsidRPr="00B6607F" w:rsidRDefault="00B6607F" w:rsidP="00B6607F">
      <w:pPr>
        <w:jc w:val="both"/>
        <w:rPr>
          <w:rFonts w:ascii="Times New Roman" w:hAnsi="Times New Roman" w:cs="Times New Roman"/>
        </w:rPr>
      </w:pPr>
    </w:p>
    <w:p w14:paraId="78EE1BB4" w14:textId="77777777" w:rsidR="00B6607F" w:rsidRPr="00B6607F" w:rsidRDefault="00B6607F" w:rsidP="00B6607F">
      <w:pPr>
        <w:jc w:val="both"/>
        <w:rPr>
          <w:rFonts w:ascii="Times New Roman" w:hAnsi="Times New Roman" w:cs="Times New Roman"/>
        </w:rPr>
      </w:pPr>
    </w:p>
    <w:sectPr w:rsidR="00B6607F" w:rsidRPr="00B66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7F"/>
    <w:rsid w:val="00B6607F"/>
    <w:rsid w:val="00CD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3005"/>
  <w15:chartTrackingRefBased/>
  <w15:docId w15:val="{DBB2C00C-AEAC-4E9F-A47A-2D5B09A3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0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07F"/>
    <w:rPr>
      <w:rFonts w:eastAsiaTheme="majorEastAsia" w:cstheme="majorBidi"/>
      <w:color w:val="272727" w:themeColor="text1" w:themeTint="D8"/>
    </w:rPr>
  </w:style>
  <w:style w:type="paragraph" w:styleId="Title">
    <w:name w:val="Title"/>
    <w:basedOn w:val="Normal"/>
    <w:next w:val="Normal"/>
    <w:link w:val="TitleChar"/>
    <w:uiPriority w:val="10"/>
    <w:qFormat/>
    <w:rsid w:val="00B66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0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07F"/>
    <w:pPr>
      <w:spacing w:before="160"/>
      <w:jc w:val="center"/>
    </w:pPr>
    <w:rPr>
      <w:i/>
      <w:iCs/>
      <w:color w:val="404040" w:themeColor="text1" w:themeTint="BF"/>
    </w:rPr>
  </w:style>
  <w:style w:type="character" w:customStyle="1" w:styleId="QuoteChar">
    <w:name w:val="Quote Char"/>
    <w:basedOn w:val="DefaultParagraphFont"/>
    <w:link w:val="Quote"/>
    <w:uiPriority w:val="29"/>
    <w:rsid w:val="00B6607F"/>
    <w:rPr>
      <w:i/>
      <w:iCs/>
      <w:color w:val="404040" w:themeColor="text1" w:themeTint="BF"/>
    </w:rPr>
  </w:style>
  <w:style w:type="paragraph" w:styleId="ListParagraph">
    <w:name w:val="List Paragraph"/>
    <w:basedOn w:val="Normal"/>
    <w:uiPriority w:val="34"/>
    <w:qFormat/>
    <w:rsid w:val="00B6607F"/>
    <w:pPr>
      <w:ind w:left="720"/>
      <w:contextualSpacing/>
    </w:pPr>
  </w:style>
  <w:style w:type="character" w:styleId="IntenseEmphasis">
    <w:name w:val="Intense Emphasis"/>
    <w:basedOn w:val="DefaultParagraphFont"/>
    <w:uiPriority w:val="21"/>
    <w:qFormat/>
    <w:rsid w:val="00B6607F"/>
    <w:rPr>
      <w:i/>
      <w:iCs/>
      <w:color w:val="0F4761" w:themeColor="accent1" w:themeShade="BF"/>
    </w:rPr>
  </w:style>
  <w:style w:type="paragraph" w:styleId="IntenseQuote">
    <w:name w:val="Intense Quote"/>
    <w:basedOn w:val="Normal"/>
    <w:next w:val="Normal"/>
    <w:link w:val="IntenseQuoteChar"/>
    <w:uiPriority w:val="30"/>
    <w:qFormat/>
    <w:rsid w:val="00B66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07F"/>
    <w:rPr>
      <w:i/>
      <w:iCs/>
      <w:color w:val="0F4761" w:themeColor="accent1" w:themeShade="BF"/>
    </w:rPr>
  </w:style>
  <w:style w:type="character" w:styleId="IntenseReference">
    <w:name w:val="Intense Reference"/>
    <w:basedOn w:val="DefaultParagraphFont"/>
    <w:uiPriority w:val="32"/>
    <w:qFormat/>
    <w:rsid w:val="00B6607F"/>
    <w:rPr>
      <w:b/>
      <w:bCs/>
      <w:smallCaps/>
      <w:color w:val="0F4761" w:themeColor="accent1" w:themeShade="BF"/>
      <w:spacing w:val="5"/>
    </w:rPr>
  </w:style>
  <w:style w:type="character" w:styleId="Hyperlink">
    <w:name w:val="Hyperlink"/>
    <w:basedOn w:val="DefaultParagraphFont"/>
    <w:uiPriority w:val="99"/>
    <w:unhideWhenUsed/>
    <w:rsid w:val="00B6607F"/>
    <w:rPr>
      <w:color w:val="467886" w:themeColor="hyperlink"/>
      <w:u w:val="single"/>
    </w:rPr>
  </w:style>
  <w:style w:type="character" w:styleId="UnresolvedMention">
    <w:name w:val="Unresolved Mention"/>
    <w:basedOn w:val="DefaultParagraphFont"/>
    <w:uiPriority w:val="99"/>
    <w:semiHidden/>
    <w:unhideWhenUsed/>
    <w:rsid w:val="00B66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invoice.vn/tin-tuc/luat-thue-thu-nhap-doanh-nghiep-2025-8-diem-m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invoice.vn/van-ban-hddt/nghi-dinh-20-2026-nd-cpve-phat-trien-kinh-te-tu-nhan" TargetMode="External"/><Relationship Id="rId5" Type="http://schemas.openxmlformats.org/officeDocument/2006/relationships/hyperlink" Target="https://einvoice.vn/tin-tuc/doanh-nghiep-duoc-mien-thue-tndn-2-4-nam-tu-theo-luat-moi" TargetMode="External"/><Relationship Id="rId4" Type="http://schemas.openxmlformats.org/officeDocument/2006/relationships/hyperlink" Target="https://einvoice.vn/tin-tuc/toan-canh-thue-tndn-202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2026-07-10T06:54:00Z</dcterms:created>
  <dcterms:modified xsi:type="dcterms:W3CDTF">2026-07-10T06:57:00Z</dcterms:modified>
</cp:coreProperties>
</file>