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2C7F" w:rsidRDefault="00A32C7F" w:rsidP="00A32C7F">
      <w:pPr>
        <w:spacing w:after="240"/>
        <w:jc w:val="center"/>
        <w:outlineLvl w:val="0"/>
        <w:rPr>
          <w:rFonts w:ascii="Times New Roman" w:eastAsia="Times New Roman" w:hAnsi="Times New Roman" w:cs="Times New Roman"/>
          <w:b/>
          <w:bCs/>
          <w:kern w:val="36"/>
          <w:sz w:val="26"/>
          <w:szCs w:val="26"/>
          <w14:ligatures w14:val="none"/>
        </w:rPr>
      </w:pPr>
      <w:r>
        <w:rPr>
          <w:rFonts w:ascii="Times New Roman" w:eastAsia="Times New Roman" w:hAnsi="Times New Roman" w:cs="Times New Roman"/>
          <w:b/>
          <w:bCs/>
          <w:kern w:val="36"/>
          <w:sz w:val="26"/>
          <w:szCs w:val="26"/>
          <w14:ligatures w14:val="none"/>
        </w:rPr>
        <w:t>THẢO</w:t>
      </w:r>
      <w:r>
        <w:rPr>
          <w:rFonts w:ascii="Times New Roman" w:eastAsia="Times New Roman" w:hAnsi="Times New Roman" w:cs="Times New Roman"/>
          <w:b/>
          <w:bCs/>
          <w:kern w:val="36"/>
          <w:sz w:val="26"/>
          <w:szCs w:val="26"/>
          <w:lang w:val="vi-VN"/>
          <w14:ligatures w14:val="none"/>
        </w:rPr>
        <w:t xml:space="preserve"> LUẬN MỘT SỐ </w:t>
      </w:r>
      <w:r w:rsidR="00337C47" w:rsidRPr="00A32C7F">
        <w:rPr>
          <w:rFonts w:ascii="Times New Roman" w:eastAsia="Times New Roman" w:hAnsi="Times New Roman" w:cs="Times New Roman"/>
          <w:b/>
          <w:bCs/>
          <w:kern w:val="36"/>
          <w:sz w:val="26"/>
          <w:szCs w:val="26"/>
          <w14:ligatures w14:val="none"/>
        </w:rPr>
        <w:t>CHÍNH</w:t>
      </w:r>
      <w:r w:rsidR="00337C47" w:rsidRPr="00A32C7F">
        <w:rPr>
          <w:rFonts w:ascii="Times New Roman" w:eastAsia="Times New Roman" w:hAnsi="Times New Roman" w:cs="Times New Roman"/>
          <w:b/>
          <w:bCs/>
          <w:kern w:val="36"/>
          <w:sz w:val="26"/>
          <w:szCs w:val="26"/>
          <w:lang w:val="vi-VN"/>
          <w14:ligatures w14:val="none"/>
        </w:rPr>
        <w:t xml:space="preserve"> SÁCH MỚI VỀ THUẾ CÓ HIỆU LỰC TỪ THÁNG 6 NĂM</w:t>
      </w:r>
      <w:r>
        <w:rPr>
          <w:rFonts w:ascii="Times New Roman" w:eastAsia="Times New Roman" w:hAnsi="Times New Roman" w:cs="Times New Roman"/>
          <w:b/>
          <w:bCs/>
          <w:kern w:val="36"/>
          <w:sz w:val="26"/>
          <w:szCs w:val="26"/>
          <w:lang w:val="vi-VN"/>
          <w14:ligatures w14:val="none"/>
        </w:rPr>
        <w:t xml:space="preserve"> 2026</w:t>
      </w:r>
    </w:p>
    <w:p w:rsidR="00337C47" w:rsidRPr="00A32C7F" w:rsidRDefault="00A32C7F" w:rsidP="00A32C7F">
      <w:pPr>
        <w:spacing w:after="240"/>
        <w:jc w:val="both"/>
        <w:outlineLvl w:val="0"/>
        <w:rPr>
          <w:rFonts w:ascii="Times New Roman" w:eastAsia="Times New Roman" w:hAnsi="Times New Roman" w:cs="Times New Roman"/>
          <w:b/>
          <w:bCs/>
          <w:kern w:val="36"/>
          <w:sz w:val="26"/>
          <w:szCs w:val="26"/>
          <w14:ligatures w14:val="none"/>
        </w:rPr>
      </w:pPr>
      <w:r>
        <w:rPr>
          <w:rFonts w:ascii="Times New Roman" w:eastAsia="Times New Roman" w:hAnsi="Times New Roman" w:cs="Times New Roman"/>
          <w:color w:val="222222"/>
          <w:kern w:val="0"/>
          <w:sz w:val="26"/>
          <w:szCs w:val="26"/>
          <w14:ligatures w14:val="none"/>
        </w:rPr>
        <w:t>Ngh</w:t>
      </w:r>
      <w:r>
        <w:rPr>
          <w:rFonts w:ascii="Times New Roman" w:eastAsia="Times New Roman" w:hAnsi="Times New Roman" w:cs="Times New Roman"/>
          <w:color w:val="222222"/>
          <w:kern w:val="0"/>
          <w:sz w:val="26"/>
          <w:szCs w:val="26"/>
          <w:lang w:val="vi-VN"/>
          <w14:ligatures w14:val="none"/>
        </w:rPr>
        <w:t xml:space="preserve">ị định 144/2026/NĐ-CP </w:t>
      </w:r>
      <w:r w:rsidR="00337C47" w:rsidRPr="00A32C7F">
        <w:rPr>
          <w:rFonts w:ascii="Times New Roman" w:eastAsia="Times New Roman" w:hAnsi="Times New Roman" w:cs="Times New Roman"/>
          <w:color w:val="222222"/>
          <w:kern w:val="0"/>
          <w:sz w:val="26"/>
          <w:szCs w:val="26"/>
          <w14:ligatures w14:val="none"/>
        </w:rPr>
        <w:t>sửa đổi, bổ sung một số điều của</w:t>
      </w:r>
      <w:r>
        <w:rPr>
          <w:rFonts w:ascii="Times New Roman" w:eastAsia="Times New Roman" w:hAnsi="Times New Roman" w:cs="Times New Roman"/>
          <w:color w:val="222222"/>
          <w:kern w:val="0"/>
          <w:sz w:val="26"/>
          <w:szCs w:val="26"/>
          <w:lang w:val="vi-VN"/>
          <w14:ligatures w14:val="none"/>
        </w:rPr>
        <w:t xml:space="preserve"> Nghị định </w:t>
      </w:r>
      <w:r>
        <w:rPr>
          <w:rFonts w:ascii="Times New Roman" w:eastAsia="Times New Roman" w:hAnsi="Times New Roman" w:cs="Times New Roman"/>
          <w:color w:val="222222"/>
          <w:kern w:val="0"/>
          <w:sz w:val="26"/>
          <w:szCs w:val="26"/>
          <w:lang w:val="vi-VN"/>
          <w14:ligatures w14:val="none"/>
        </w:rPr>
        <w:t>1</w:t>
      </w:r>
      <w:r>
        <w:rPr>
          <w:rFonts w:ascii="Times New Roman" w:eastAsia="Times New Roman" w:hAnsi="Times New Roman" w:cs="Times New Roman"/>
          <w:color w:val="222222"/>
          <w:kern w:val="0"/>
          <w:sz w:val="26"/>
          <w:szCs w:val="26"/>
          <w:lang w:val="vi-VN"/>
          <w14:ligatures w14:val="none"/>
        </w:rPr>
        <w:t>81</w:t>
      </w:r>
      <w:r>
        <w:rPr>
          <w:rFonts w:ascii="Times New Roman" w:eastAsia="Times New Roman" w:hAnsi="Times New Roman" w:cs="Times New Roman"/>
          <w:color w:val="222222"/>
          <w:kern w:val="0"/>
          <w:sz w:val="26"/>
          <w:szCs w:val="26"/>
          <w:lang w:val="vi-VN"/>
          <w14:ligatures w14:val="none"/>
        </w:rPr>
        <w:t>/202</w:t>
      </w:r>
      <w:r>
        <w:rPr>
          <w:rFonts w:ascii="Times New Roman" w:eastAsia="Times New Roman" w:hAnsi="Times New Roman" w:cs="Times New Roman"/>
          <w:color w:val="222222"/>
          <w:kern w:val="0"/>
          <w:sz w:val="26"/>
          <w:szCs w:val="26"/>
          <w:lang w:val="vi-VN"/>
          <w14:ligatures w14:val="none"/>
        </w:rPr>
        <w:t>5</w:t>
      </w:r>
      <w:r>
        <w:rPr>
          <w:rFonts w:ascii="Times New Roman" w:eastAsia="Times New Roman" w:hAnsi="Times New Roman" w:cs="Times New Roman"/>
          <w:color w:val="222222"/>
          <w:kern w:val="0"/>
          <w:sz w:val="26"/>
          <w:szCs w:val="26"/>
          <w:lang w:val="vi-VN"/>
          <w14:ligatures w14:val="none"/>
        </w:rPr>
        <w:t>/NĐ-CP</w:t>
      </w:r>
      <w:r w:rsidR="00337C47" w:rsidRPr="00A32C7F">
        <w:rPr>
          <w:rFonts w:ascii="Times New Roman" w:eastAsia="Times New Roman" w:hAnsi="Times New Roman" w:cs="Times New Roman"/>
          <w:color w:val="222222"/>
          <w:kern w:val="0"/>
          <w:sz w:val="26"/>
          <w:szCs w:val="26"/>
          <w14:ligatures w14:val="none"/>
        </w:rPr>
        <w:t xml:space="preserve"> về thi </w:t>
      </w:r>
      <w:r>
        <w:rPr>
          <w:rFonts w:ascii="Times New Roman" w:eastAsia="Times New Roman" w:hAnsi="Times New Roman" w:cs="Times New Roman"/>
          <w:color w:val="222222"/>
          <w:kern w:val="0"/>
          <w:sz w:val="26"/>
          <w:szCs w:val="26"/>
          <w14:ligatures w14:val="none"/>
        </w:rPr>
        <w:t>hành</w:t>
      </w:r>
      <w:r>
        <w:rPr>
          <w:rFonts w:ascii="Times New Roman" w:eastAsia="Times New Roman" w:hAnsi="Times New Roman" w:cs="Times New Roman"/>
          <w:color w:val="222222"/>
          <w:kern w:val="0"/>
          <w:sz w:val="26"/>
          <w:szCs w:val="26"/>
          <w:lang w:val="vi-VN"/>
          <w14:ligatures w14:val="none"/>
        </w:rPr>
        <w:t xml:space="preserve"> Luật Thuế giá trị gia tăng </w:t>
      </w:r>
      <w:r w:rsidR="00337C47" w:rsidRPr="00A32C7F">
        <w:rPr>
          <w:rFonts w:ascii="Times New Roman" w:eastAsia="Times New Roman" w:hAnsi="Times New Roman" w:cs="Times New Roman"/>
          <w:color w:val="222222"/>
          <w:kern w:val="0"/>
          <w:sz w:val="26"/>
          <w:szCs w:val="26"/>
          <w14:ligatures w14:val="none"/>
        </w:rPr>
        <w:t>chính thức </w:t>
      </w:r>
      <w:r w:rsidR="00337C47" w:rsidRPr="00A32C7F">
        <w:rPr>
          <w:rFonts w:ascii="Times New Roman" w:eastAsia="Times New Roman" w:hAnsi="Times New Roman" w:cs="Times New Roman"/>
          <w:b/>
          <w:bCs/>
          <w:color w:val="222222"/>
          <w:kern w:val="0"/>
          <w:sz w:val="26"/>
          <w:szCs w:val="26"/>
          <w14:ligatures w14:val="none"/>
        </w:rPr>
        <w:t>có hiệu lực từ ngày 20/06/2026</w:t>
      </w:r>
      <w:r w:rsidR="00337C47" w:rsidRPr="00A32C7F">
        <w:rPr>
          <w:rFonts w:ascii="Times New Roman" w:eastAsia="Times New Roman" w:hAnsi="Times New Roman" w:cs="Times New Roman"/>
          <w:color w:val="222222"/>
          <w:kern w:val="0"/>
          <w:sz w:val="26"/>
          <w:szCs w:val="26"/>
          <w14:ligatures w14:val="none"/>
        </w:rPr>
        <w:t> với nhiều nội dung mới đáng chú ý như sau:</w:t>
      </w:r>
    </w:p>
    <w:p w:rsidR="00337C47" w:rsidRPr="00A32C7F" w:rsidRDefault="00337C47" w:rsidP="00A32C7F">
      <w:pPr>
        <w:spacing w:before="180" w:after="180"/>
        <w:jc w:val="both"/>
        <w:outlineLvl w:val="1"/>
        <w:rPr>
          <w:rFonts w:ascii="Times New Roman" w:eastAsia="Times New Roman" w:hAnsi="Times New Roman" w:cs="Times New Roman"/>
          <w:b/>
          <w:bCs/>
          <w:color w:val="222222"/>
          <w:kern w:val="0"/>
          <w:sz w:val="26"/>
          <w:szCs w:val="26"/>
          <w14:ligatures w14:val="none"/>
        </w:rPr>
      </w:pPr>
      <w:r w:rsidRPr="00A32C7F">
        <w:rPr>
          <w:rFonts w:ascii="Times New Roman" w:eastAsia="Times New Roman" w:hAnsi="Times New Roman" w:cs="Times New Roman"/>
          <w:b/>
          <w:bCs/>
          <w:color w:val="222222"/>
          <w:kern w:val="0"/>
          <w:sz w:val="26"/>
          <w:szCs w:val="26"/>
          <w14:ligatures w14:val="none"/>
        </w:rPr>
        <w:t>1. Bổ sung đối tượng không chịu thuế giá trị gia tăng</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Điều 1, Điều 2</w:t>
      </w:r>
      <w:r w:rsidR="00A32C7F">
        <w:rPr>
          <w:rFonts w:ascii="Times New Roman" w:eastAsia="Times New Roman" w:hAnsi="Times New Roman" w:cs="Times New Roman"/>
          <w:color w:val="222222"/>
          <w:kern w:val="0"/>
          <w:sz w:val="26"/>
          <w:szCs w:val="26"/>
          <w:lang w:val="vi-VN"/>
          <w14:ligatures w14:val="none"/>
        </w:rPr>
        <w:t xml:space="preserve"> Nghị định </w:t>
      </w:r>
      <w:r w:rsidR="00A32C7F">
        <w:rPr>
          <w:rFonts w:ascii="Times New Roman" w:eastAsia="Times New Roman" w:hAnsi="Times New Roman" w:cs="Times New Roman"/>
          <w:color w:val="222222"/>
          <w:kern w:val="0"/>
          <w:sz w:val="26"/>
          <w:szCs w:val="26"/>
          <w:lang w:val="vi-VN"/>
          <w14:ligatures w14:val="none"/>
        </w:rPr>
        <w:t>144/2026/NĐ-CP</w:t>
      </w:r>
      <w:r w:rsidRPr="00A32C7F">
        <w:rPr>
          <w:rFonts w:ascii="Times New Roman" w:eastAsia="Times New Roman" w:hAnsi="Times New Roman" w:cs="Times New Roman"/>
          <w:color w:val="222222"/>
          <w:kern w:val="0"/>
          <w:sz w:val="26"/>
          <w:szCs w:val="26"/>
          <w14:ligatures w14:val="none"/>
        </w:rPr>
        <w:t xml:space="preserve"> bổ sung các sản phẩm, dịch vụ thuộc đối tượng không chịu thuế giá trị gia tăng tại khoản của Điều 4</w:t>
      </w:r>
      <w:r w:rsidR="00A32C7F">
        <w:rPr>
          <w:rFonts w:ascii="Times New Roman" w:eastAsia="Times New Roman" w:hAnsi="Times New Roman" w:cs="Times New Roman"/>
          <w:color w:val="222222"/>
          <w:kern w:val="0"/>
          <w:sz w:val="26"/>
          <w:szCs w:val="26"/>
          <w:lang w:val="vi-VN"/>
          <w14:ligatures w14:val="none"/>
        </w:rPr>
        <w:t xml:space="preserve"> Nghị định </w:t>
      </w:r>
      <w:r w:rsidR="00A32C7F">
        <w:rPr>
          <w:rFonts w:ascii="Times New Roman" w:eastAsia="Times New Roman" w:hAnsi="Times New Roman" w:cs="Times New Roman"/>
          <w:color w:val="222222"/>
          <w:kern w:val="0"/>
          <w:sz w:val="26"/>
          <w:szCs w:val="26"/>
          <w:lang w:val="vi-VN"/>
          <w14:ligatures w14:val="none"/>
        </w:rPr>
        <w:t>1</w:t>
      </w:r>
      <w:r w:rsidR="00A32C7F">
        <w:rPr>
          <w:rFonts w:ascii="Times New Roman" w:eastAsia="Times New Roman" w:hAnsi="Times New Roman" w:cs="Times New Roman"/>
          <w:color w:val="222222"/>
          <w:kern w:val="0"/>
          <w:sz w:val="26"/>
          <w:szCs w:val="26"/>
          <w:lang w:val="vi-VN"/>
          <w14:ligatures w14:val="none"/>
        </w:rPr>
        <w:t>81</w:t>
      </w:r>
      <w:r w:rsidR="00A32C7F">
        <w:rPr>
          <w:rFonts w:ascii="Times New Roman" w:eastAsia="Times New Roman" w:hAnsi="Times New Roman" w:cs="Times New Roman"/>
          <w:color w:val="222222"/>
          <w:kern w:val="0"/>
          <w:sz w:val="26"/>
          <w:szCs w:val="26"/>
          <w:lang w:val="vi-VN"/>
          <w14:ligatures w14:val="none"/>
        </w:rPr>
        <w:t>/202</w:t>
      </w:r>
      <w:r w:rsidR="00A32C7F">
        <w:rPr>
          <w:rFonts w:ascii="Times New Roman" w:eastAsia="Times New Roman" w:hAnsi="Times New Roman" w:cs="Times New Roman"/>
          <w:color w:val="222222"/>
          <w:kern w:val="0"/>
          <w:sz w:val="26"/>
          <w:szCs w:val="26"/>
          <w:lang w:val="vi-VN"/>
          <w14:ligatures w14:val="none"/>
        </w:rPr>
        <w:t>5</w:t>
      </w:r>
      <w:r w:rsidR="00A32C7F">
        <w:rPr>
          <w:rFonts w:ascii="Times New Roman" w:eastAsia="Times New Roman" w:hAnsi="Times New Roman" w:cs="Times New Roman"/>
          <w:color w:val="222222"/>
          <w:kern w:val="0"/>
          <w:sz w:val="26"/>
          <w:szCs w:val="26"/>
          <w:lang w:val="vi-VN"/>
          <w14:ligatures w14:val="none"/>
        </w:rPr>
        <w:t>/NĐ-CP</w:t>
      </w:r>
      <w:r w:rsidR="00A32C7F">
        <w:rPr>
          <w:rFonts w:ascii="Times New Roman" w:hAnsi="Times New Roman" w:cs="Times New Roman"/>
          <w:sz w:val="26"/>
          <w:szCs w:val="26"/>
          <w:lang w:val="vi-VN"/>
        </w:rPr>
        <w:t xml:space="preserve"> </w:t>
      </w:r>
      <w:r w:rsidRPr="00A32C7F">
        <w:rPr>
          <w:rFonts w:ascii="Times New Roman" w:eastAsia="Times New Roman" w:hAnsi="Times New Roman" w:cs="Times New Roman"/>
          <w:color w:val="222222"/>
          <w:kern w:val="0"/>
          <w:sz w:val="26"/>
          <w:szCs w:val="26"/>
          <w14:ligatures w14:val="none"/>
        </w:rPr>
        <w:t>bao gồm:</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 Bảo hiểm nhân thọ, bảo hiểm sức khỏe, bảo hiểm người học, các dịch vụ bảo hiểm khác liên quan đến con người; bảo hiểm vật nuôi, bảo hiểm cây trồng, các dịch vụ bảo hiểm nông nghiệp khác.</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 Bảo hiểm tàu, thuyền, trang thiết bị và các dụng cụ cần thiết khác phục vụ trực tiếp đánh bắt thủy sản.</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 Tái bảo hiểm theo quy định của pháp luật về kinh doanh bảo hiểm; 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 Doanh thu hoa hồng môi giới dịch vụ bảo hiểm thuộc đối tượng không chịu thuế giá trị gia tăng.</w:t>
      </w:r>
    </w:p>
    <w:p w:rsidR="00337C47" w:rsidRPr="00A32C7F" w:rsidRDefault="00337C47" w:rsidP="00A32C7F">
      <w:pPr>
        <w:spacing w:before="180" w:after="180"/>
        <w:jc w:val="both"/>
        <w:outlineLvl w:val="1"/>
        <w:rPr>
          <w:rFonts w:ascii="Times New Roman" w:eastAsia="Times New Roman" w:hAnsi="Times New Roman" w:cs="Times New Roman"/>
          <w:b/>
          <w:bCs/>
          <w:color w:val="222222"/>
          <w:kern w:val="0"/>
          <w:sz w:val="26"/>
          <w:szCs w:val="26"/>
          <w14:ligatures w14:val="none"/>
        </w:rPr>
      </w:pPr>
      <w:r w:rsidRPr="00A32C7F">
        <w:rPr>
          <w:rFonts w:ascii="Times New Roman" w:eastAsia="Times New Roman" w:hAnsi="Times New Roman" w:cs="Times New Roman"/>
          <w:b/>
          <w:bCs/>
          <w:color w:val="222222"/>
          <w:kern w:val="0"/>
          <w:sz w:val="26"/>
          <w:szCs w:val="26"/>
          <w14:ligatures w14:val="none"/>
        </w:rPr>
        <w:t>2. Quy định về doanh thu khấu trừ thuế giá trị gia tăng đầu vào đối với tổ chức tín dụng, chứng khoán kinh doanh bảo hiểm</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 xml:space="preserve">Đây là các quy định mới tại Điều 3 </w:t>
      </w:r>
      <w:r w:rsidR="00A32C7F">
        <w:rPr>
          <w:rFonts w:ascii="Times New Roman" w:eastAsia="Times New Roman" w:hAnsi="Times New Roman" w:cs="Times New Roman"/>
          <w:color w:val="222222"/>
          <w:kern w:val="0"/>
          <w:sz w:val="26"/>
          <w:szCs w:val="26"/>
          <w:lang w:val="vi-VN"/>
          <w14:ligatures w14:val="none"/>
        </w:rPr>
        <w:t>144/2026/NĐ-CP</w:t>
      </w:r>
      <w:r w:rsidR="00A32C7F" w:rsidRPr="00A32C7F">
        <w:rPr>
          <w:rFonts w:ascii="Times New Roman" w:eastAsia="Times New Roman" w:hAnsi="Times New Roman" w:cs="Times New Roman"/>
          <w:color w:val="222222"/>
          <w:kern w:val="0"/>
          <w:sz w:val="26"/>
          <w:szCs w:val="26"/>
          <w14:ligatures w14:val="none"/>
        </w:rPr>
        <w:t xml:space="preserve"> </w:t>
      </w:r>
      <w:r w:rsidRPr="00A32C7F">
        <w:rPr>
          <w:rFonts w:ascii="Times New Roman" w:eastAsia="Times New Roman" w:hAnsi="Times New Roman" w:cs="Times New Roman"/>
          <w:color w:val="222222"/>
          <w:kern w:val="0"/>
          <w:sz w:val="26"/>
          <w:szCs w:val="26"/>
          <w14:ligatures w14:val="none"/>
        </w:rPr>
        <w:t>Nghị định 144/2026 bổ sung vào khoản 2 Điều 23 Nghị định 181/2025, theo đó hướng dẫn thuế giá trị gia tăng đầu vào của hàng hóa trong một số trường hợp đặc biệt như sau:</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Doanh thu của tổ chức tín dụng, chi nhánh ngân hàng nước ngoài được xác định theo quy định của pháp luật về các tổ chức tín dụng.</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Doanh thu của hoạt động về chứng khoán và thị trường chứng khoán được xác định theo quy định của pháp luật về chứng khoán; doanh thu của hoạt động kinh doanh bảo hiểm được xác định theo quy định của pháp luật về kinh doanh bảo hiểm.</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Doanh thu của hàng hóa, dịch vụ chịu thuế giá trị gia tăng quy định tại khoản này bao gồm cả doanh thu của hàng hóa không phải kê khai, tính nộp thuế giá trị gia tăng (nếu có).</w:t>
      </w:r>
    </w:p>
    <w:p w:rsidR="00337C47" w:rsidRPr="00A32C7F" w:rsidRDefault="00337C47" w:rsidP="00A32C7F">
      <w:pPr>
        <w:spacing w:before="180" w:after="180"/>
        <w:jc w:val="both"/>
        <w:outlineLvl w:val="1"/>
        <w:rPr>
          <w:rFonts w:ascii="Times New Roman" w:eastAsia="Times New Roman" w:hAnsi="Times New Roman" w:cs="Times New Roman"/>
          <w:b/>
          <w:bCs/>
          <w:color w:val="222222"/>
          <w:kern w:val="0"/>
          <w:sz w:val="26"/>
          <w:szCs w:val="26"/>
          <w14:ligatures w14:val="none"/>
        </w:rPr>
      </w:pPr>
      <w:r w:rsidRPr="00A32C7F">
        <w:rPr>
          <w:rFonts w:ascii="Times New Roman" w:eastAsia="Times New Roman" w:hAnsi="Times New Roman" w:cs="Times New Roman"/>
          <w:b/>
          <w:bCs/>
          <w:color w:val="222222"/>
          <w:kern w:val="0"/>
          <w:sz w:val="26"/>
          <w:szCs w:val="26"/>
          <w14:ligatures w14:val="none"/>
        </w:rPr>
        <w:t>3. Khoản trả chậm, trả góp trên 5 triệu chưa đến hạn thanh toán vẫn được khấu trừ VAT đầu vào</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lastRenderedPageBreak/>
        <w:t>Điều 4</w:t>
      </w:r>
      <w:r w:rsidR="00A32C7F">
        <w:rPr>
          <w:rFonts w:ascii="Times New Roman" w:eastAsia="Times New Roman" w:hAnsi="Times New Roman" w:cs="Times New Roman"/>
          <w:color w:val="222222"/>
          <w:kern w:val="0"/>
          <w:sz w:val="26"/>
          <w:szCs w:val="26"/>
          <w:lang w:val="vi-VN"/>
          <w14:ligatures w14:val="none"/>
        </w:rPr>
        <w:t xml:space="preserve"> Nghị định </w:t>
      </w:r>
      <w:r w:rsidR="00A32C7F">
        <w:rPr>
          <w:rFonts w:ascii="Times New Roman" w:eastAsia="Times New Roman" w:hAnsi="Times New Roman" w:cs="Times New Roman"/>
          <w:color w:val="222222"/>
          <w:kern w:val="0"/>
          <w:sz w:val="26"/>
          <w:szCs w:val="26"/>
          <w:lang w:val="vi-VN"/>
          <w14:ligatures w14:val="none"/>
        </w:rPr>
        <w:t>144/2026/NĐ-CP</w:t>
      </w:r>
      <w:r w:rsidR="00A32C7F" w:rsidRPr="00A32C7F">
        <w:rPr>
          <w:rFonts w:ascii="Times New Roman" w:eastAsia="Times New Roman" w:hAnsi="Times New Roman" w:cs="Times New Roman"/>
          <w:color w:val="222222"/>
          <w:kern w:val="0"/>
          <w:sz w:val="26"/>
          <w:szCs w:val="26"/>
          <w14:ligatures w14:val="none"/>
        </w:rPr>
        <w:t xml:space="preserve"> </w:t>
      </w:r>
      <w:r w:rsidRPr="00A32C7F">
        <w:rPr>
          <w:rFonts w:ascii="Times New Roman" w:eastAsia="Times New Roman" w:hAnsi="Times New Roman" w:cs="Times New Roman"/>
          <w:color w:val="222222"/>
          <w:kern w:val="0"/>
          <w:sz w:val="26"/>
          <w:szCs w:val="26"/>
          <w14:ligatures w14:val="none"/>
        </w:rPr>
        <w:t>bổ sung quy định về chứng từ thanh toán không dùng tiền mặt trong trường hợp mua trả chậm, trả góp tại điểm g khoản 2 Điều 26</w:t>
      </w:r>
      <w:r w:rsidR="00A32C7F">
        <w:rPr>
          <w:rFonts w:ascii="Times New Roman" w:eastAsia="Times New Roman" w:hAnsi="Times New Roman" w:cs="Times New Roman"/>
          <w:color w:val="222222"/>
          <w:kern w:val="0"/>
          <w:sz w:val="26"/>
          <w:szCs w:val="26"/>
          <w:lang w:val="vi-VN"/>
          <w14:ligatures w14:val="none"/>
        </w:rPr>
        <w:t xml:space="preserve"> Nghị định </w:t>
      </w:r>
      <w:r w:rsidR="00A32C7F">
        <w:rPr>
          <w:rFonts w:ascii="Times New Roman" w:eastAsia="Times New Roman" w:hAnsi="Times New Roman" w:cs="Times New Roman"/>
          <w:color w:val="222222"/>
          <w:kern w:val="0"/>
          <w:sz w:val="26"/>
          <w:szCs w:val="26"/>
          <w:lang w:val="vi-VN"/>
          <w14:ligatures w14:val="none"/>
        </w:rPr>
        <w:t>1</w:t>
      </w:r>
      <w:r w:rsidR="00A32C7F">
        <w:rPr>
          <w:rFonts w:ascii="Times New Roman" w:eastAsia="Times New Roman" w:hAnsi="Times New Roman" w:cs="Times New Roman"/>
          <w:color w:val="222222"/>
          <w:kern w:val="0"/>
          <w:sz w:val="26"/>
          <w:szCs w:val="26"/>
          <w:lang w:val="vi-VN"/>
          <w14:ligatures w14:val="none"/>
        </w:rPr>
        <w:t>81</w:t>
      </w:r>
      <w:r w:rsidR="00A32C7F">
        <w:rPr>
          <w:rFonts w:ascii="Times New Roman" w:eastAsia="Times New Roman" w:hAnsi="Times New Roman" w:cs="Times New Roman"/>
          <w:color w:val="222222"/>
          <w:kern w:val="0"/>
          <w:sz w:val="26"/>
          <w:szCs w:val="26"/>
          <w:lang w:val="vi-VN"/>
          <w14:ligatures w14:val="none"/>
        </w:rPr>
        <w:t>/202</w:t>
      </w:r>
      <w:r w:rsidR="00A32C7F">
        <w:rPr>
          <w:rFonts w:ascii="Times New Roman" w:eastAsia="Times New Roman" w:hAnsi="Times New Roman" w:cs="Times New Roman"/>
          <w:color w:val="222222"/>
          <w:kern w:val="0"/>
          <w:sz w:val="26"/>
          <w:szCs w:val="26"/>
          <w:lang w:val="vi-VN"/>
          <w14:ligatures w14:val="none"/>
        </w:rPr>
        <w:t>5</w:t>
      </w:r>
      <w:r w:rsidR="00A32C7F">
        <w:rPr>
          <w:rFonts w:ascii="Times New Roman" w:eastAsia="Times New Roman" w:hAnsi="Times New Roman" w:cs="Times New Roman"/>
          <w:color w:val="222222"/>
          <w:kern w:val="0"/>
          <w:sz w:val="26"/>
          <w:szCs w:val="26"/>
          <w:lang w:val="vi-VN"/>
          <w14:ligatures w14:val="none"/>
        </w:rPr>
        <w:t>/NĐ-CP</w:t>
      </w:r>
      <w:r w:rsidR="00A32C7F" w:rsidRPr="00A32C7F">
        <w:rPr>
          <w:rFonts w:ascii="Times New Roman" w:eastAsia="Times New Roman" w:hAnsi="Times New Roman" w:cs="Times New Roman"/>
          <w:color w:val="222222"/>
          <w:kern w:val="0"/>
          <w:sz w:val="26"/>
          <w:szCs w:val="26"/>
          <w14:ligatures w14:val="none"/>
        </w:rPr>
        <w:t xml:space="preserve"> </w:t>
      </w:r>
      <w:r w:rsidRPr="00A32C7F">
        <w:rPr>
          <w:rFonts w:ascii="Times New Roman" w:eastAsia="Times New Roman" w:hAnsi="Times New Roman" w:cs="Times New Roman"/>
          <w:color w:val="222222"/>
          <w:kern w:val="0"/>
          <w:sz w:val="26"/>
          <w:szCs w:val="26"/>
          <w14:ligatures w14:val="none"/>
        </w:rPr>
        <w:t>như sau:</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Đối với hàng hóa, dịch vụ mua trả chậm, trả góp có giá trị hàng hóa, dịch vụ mua từ 05 triệu đồng trở lên, cơ sở kinh doanh căn cứ vào hợp đồng mua hàng hóa, dịch vụ bằng văn bản, hóa đơn giá trị gia tăng và chứng từ thanh toán không dùng tiền mặt của hàng hóa, dịch vụ mua trả chậm, trả góp để khấu trừ thuế giá trị gia tăng đầu vào. </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Trường hợp </w:t>
      </w:r>
      <w:r w:rsidRPr="00A32C7F">
        <w:rPr>
          <w:rFonts w:ascii="Times New Roman" w:eastAsia="Times New Roman" w:hAnsi="Times New Roman" w:cs="Times New Roman"/>
          <w:b/>
          <w:bCs/>
          <w:color w:val="222222"/>
          <w:kern w:val="0"/>
          <w:sz w:val="26"/>
          <w:szCs w:val="26"/>
          <w14:ligatures w14:val="none"/>
        </w:rPr>
        <w:t>chưa có chứng từ thanh toán không dùng tiền mặt do chưa đến thời điểm thanh toán</w:t>
      </w:r>
      <w:r w:rsidRPr="00A32C7F">
        <w:rPr>
          <w:rFonts w:ascii="Times New Roman" w:eastAsia="Times New Roman" w:hAnsi="Times New Roman" w:cs="Times New Roman"/>
          <w:color w:val="222222"/>
          <w:kern w:val="0"/>
          <w:sz w:val="26"/>
          <w:szCs w:val="26"/>
          <w14:ligatures w14:val="none"/>
        </w:rPr>
        <w:t> theo hợp đồng, phụ lục hợp đồng thì cơ sở kinh doanh</w:t>
      </w:r>
      <w:r w:rsidRPr="00A32C7F">
        <w:rPr>
          <w:rFonts w:ascii="Times New Roman" w:eastAsia="Times New Roman" w:hAnsi="Times New Roman" w:cs="Times New Roman"/>
          <w:b/>
          <w:bCs/>
          <w:color w:val="222222"/>
          <w:kern w:val="0"/>
          <w:sz w:val="26"/>
          <w:szCs w:val="26"/>
          <w14:ligatures w14:val="none"/>
        </w:rPr>
        <w:t> vẫn được khấu trừ thuế giá trị gia tăng đầu vào.</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Đến thời điểm thanh toán theo hợp đồng, phụ lục hợp đồng, cơ sở kinh doanh không có chứng từ thanh toán không dùng tiền mặt thì cơ sở kinh doanh phải kê khai, điều chỉnh giảm số thuế giá trị gia tăng đầu vào được khấu trừ đối với phần giá trị hàng hóa, dịch vụ không có chứng từ thanh toán không dùng tiền mặt vào kỳ tính thuế phát sinh nghĩa vụ thanh toán theo hợp đồng, phụ lục hợp đồng.</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Trường hợp sau khi điều chỉnh, cơ sở kinh doanh có chứng từ thanh toán không dùng tiền mặt thì cơ sở kinh doanh được kê khai, khấu trừ số thuế giá trị gia tăng đầu vào đối với phần giá trị hàng hóa, dịch vụ có chứng từ thanh toán không dùng tiền mặt vào kỳ tính thuế có chứng từ thanh toán không dùng tiền mặt.</w:t>
      </w:r>
    </w:p>
    <w:p w:rsidR="00337C47" w:rsidRPr="00A32C7F" w:rsidRDefault="00337C47" w:rsidP="00A32C7F">
      <w:pPr>
        <w:spacing w:before="180" w:after="180"/>
        <w:jc w:val="both"/>
        <w:outlineLvl w:val="1"/>
        <w:rPr>
          <w:rFonts w:ascii="Times New Roman" w:eastAsia="Times New Roman" w:hAnsi="Times New Roman" w:cs="Times New Roman"/>
          <w:b/>
          <w:bCs/>
          <w:color w:val="222222"/>
          <w:kern w:val="0"/>
          <w:sz w:val="26"/>
          <w:szCs w:val="26"/>
          <w14:ligatures w14:val="none"/>
        </w:rPr>
      </w:pPr>
      <w:r w:rsidRPr="00A32C7F">
        <w:rPr>
          <w:rFonts w:ascii="Times New Roman" w:eastAsia="Times New Roman" w:hAnsi="Times New Roman" w:cs="Times New Roman"/>
          <w:b/>
          <w:bCs/>
          <w:color w:val="222222"/>
          <w:kern w:val="0"/>
          <w:sz w:val="26"/>
          <w:szCs w:val="26"/>
          <w14:ligatures w14:val="none"/>
        </w:rPr>
        <w:t>4. Áp dụng phụ lục sản phẩm tài nguyên, khoáng sản xuất khẩu không chịu thuế giá trị gia tăng mới</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Danh mục (Phụ lục I, Phụ lục II) ban hành kèm theo Nghị định số 181/2025/NĐ-CP bị bãi bỏ. </w:t>
      </w:r>
    </w:p>
    <w:p w:rsidR="00337C47" w:rsidRPr="00A32C7F" w:rsidRDefault="00337C47" w:rsidP="00A32C7F">
      <w:pPr>
        <w:spacing w:before="180" w:after="180"/>
        <w:jc w:val="both"/>
        <w:rPr>
          <w:rFonts w:ascii="Times New Roman" w:eastAsia="Times New Roman" w:hAnsi="Times New Roman" w:cs="Times New Roman"/>
          <w:color w:val="222222"/>
          <w:kern w:val="0"/>
          <w:sz w:val="26"/>
          <w:szCs w:val="26"/>
          <w14:ligatures w14:val="none"/>
        </w:rPr>
      </w:pPr>
      <w:r w:rsidRPr="00A32C7F">
        <w:rPr>
          <w:rFonts w:ascii="Times New Roman" w:eastAsia="Times New Roman" w:hAnsi="Times New Roman" w:cs="Times New Roman"/>
          <w:color w:val="222222"/>
          <w:kern w:val="0"/>
          <w:sz w:val="26"/>
          <w:szCs w:val="26"/>
          <w14:ligatures w14:val="none"/>
        </w:rPr>
        <w:t>Từ ngày 20/6/2026, áp dụng Phụ lục I, Phụ lục II ban hành kèm theo Nghị định 144 quy định về các sản phẩm xuất khẩu là tài nguyên, khoáng sản khai thác chưa chế biến thành sản phẩm khác và sản phẩm xuất khẩu là tài nguyên, khoáng sản khai thác đã chế biến thành sản phẩm khác theo định hướng của nhà nước về không khuyến khích xuất khẩu, hạn chế xuất khẩu các tài nguyên, khoáng sản thô không thuộc đối tượng chịu thuế giá trị gia tăng.</w:t>
      </w:r>
    </w:p>
    <w:p w:rsidR="00337C47" w:rsidRPr="00A32C7F" w:rsidRDefault="00337C47" w:rsidP="00A32C7F">
      <w:pPr>
        <w:jc w:val="both"/>
        <w:rPr>
          <w:rFonts w:ascii="Times New Roman" w:eastAsia="Times New Roman" w:hAnsi="Times New Roman" w:cs="Times New Roman"/>
          <w:kern w:val="0"/>
          <w:sz w:val="26"/>
          <w:szCs w:val="26"/>
          <w14:ligatures w14:val="none"/>
        </w:rPr>
      </w:pPr>
    </w:p>
    <w:p w:rsidR="00337C47" w:rsidRPr="00A32C7F" w:rsidRDefault="00337C47" w:rsidP="00A32C7F">
      <w:pPr>
        <w:jc w:val="both"/>
        <w:rPr>
          <w:rFonts w:ascii="Times New Roman" w:hAnsi="Times New Roman" w:cs="Times New Roman"/>
          <w:sz w:val="26"/>
          <w:szCs w:val="26"/>
        </w:rPr>
      </w:pPr>
    </w:p>
    <w:sectPr w:rsidR="00337C47" w:rsidRPr="00A32C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115B1"/>
    <w:multiLevelType w:val="multilevel"/>
    <w:tmpl w:val="B7D8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178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47"/>
    <w:rsid w:val="00337C47"/>
    <w:rsid w:val="00A32C7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FAC18C7"/>
  <w15:chartTrackingRefBased/>
  <w15:docId w15:val="{A507BDB4-AC13-7243-A684-6840EC24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7C47"/>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337C4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C4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337C47"/>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semiHidden/>
    <w:unhideWhenUsed/>
    <w:rsid w:val="00337C47"/>
    <w:rPr>
      <w:color w:val="0000FF"/>
      <w:u w:val="single"/>
    </w:rPr>
  </w:style>
  <w:style w:type="character" w:customStyle="1" w:styleId="toc-title">
    <w:name w:val="toc-title"/>
    <w:basedOn w:val="DefaultParagraphFont"/>
    <w:rsid w:val="00337C47"/>
  </w:style>
  <w:style w:type="character" w:customStyle="1" w:styleId="toc-show">
    <w:name w:val="toc-show"/>
    <w:basedOn w:val="DefaultParagraphFont"/>
    <w:rsid w:val="00337C47"/>
  </w:style>
  <w:style w:type="paragraph" w:customStyle="1" w:styleId="toclevel-4">
    <w:name w:val="toclevel-4"/>
    <w:basedOn w:val="Normal"/>
    <w:rsid w:val="00337C47"/>
    <w:pPr>
      <w:spacing w:before="100" w:beforeAutospacing="1" w:after="100" w:afterAutospacing="1"/>
    </w:pPr>
    <w:rPr>
      <w:rFonts w:ascii="Times New Roman" w:eastAsia="Times New Roman" w:hAnsi="Times New Roman" w:cs="Times New Roman"/>
      <w:kern w:val="0"/>
      <w14:ligatures w14:val="none"/>
    </w:rPr>
  </w:style>
  <w:style w:type="character" w:customStyle="1" w:styleId="toctext">
    <w:name w:val="toctext"/>
    <w:basedOn w:val="DefaultParagraphFont"/>
    <w:rsid w:val="00337C47"/>
  </w:style>
  <w:style w:type="paragraph" w:styleId="NormalWeb">
    <w:name w:val="Normal (Web)"/>
    <w:basedOn w:val="Normal"/>
    <w:uiPriority w:val="99"/>
    <w:semiHidden/>
    <w:unhideWhenUsed/>
    <w:rsid w:val="00337C4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7C47"/>
    <w:rPr>
      <w:b/>
      <w:bCs/>
    </w:rPr>
  </w:style>
  <w:style w:type="character" w:styleId="Emphasis">
    <w:name w:val="Emphasis"/>
    <w:basedOn w:val="DefaultParagraphFont"/>
    <w:uiPriority w:val="20"/>
    <w:qFormat/>
    <w:rsid w:val="00337C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773257">
      <w:bodyDiv w:val="1"/>
      <w:marLeft w:val="0"/>
      <w:marRight w:val="0"/>
      <w:marTop w:val="0"/>
      <w:marBottom w:val="0"/>
      <w:divBdr>
        <w:top w:val="none" w:sz="0" w:space="0" w:color="auto"/>
        <w:left w:val="none" w:sz="0" w:space="0" w:color="auto"/>
        <w:bottom w:val="none" w:sz="0" w:space="0" w:color="auto"/>
        <w:right w:val="none" w:sz="0" w:space="0" w:color="auto"/>
      </w:divBdr>
      <w:divsChild>
        <w:div w:id="1887443841">
          <w:marLeft w:val="0"/>
          <w:marRight w:val="0"/>
          <w:marTop w:val="0"/>
          <w:marBottom w:val="180"/>
          <w:divBdr>
            <w:top w:val="none" w:sz="0" w:space="0" w:color="auto"/>
            <w:left w:val="none" w:sz="0" w:space="0" w:color="auto"/>
            <w:bottom w:val="none" w:sz="0" w:space="0" w:color="auto"/>
            <w:right w:val="none" w:sz="0" w:space="0" w:color="auto"/>
          </w:divBdr>
          <w:divsChild>
            <w:div w:id="2005429102">
              <w:marLeft w:val="0"/>
              <w:marRight w:val="240"/>
              <w:marTop w:val="0"/>
              <w:marBottom w:val="0"/>
              <w:divBdr>
                <w:top w:val="none" w:sz="0" w:space="0" w:color="auto"/>
                <w:left w:val="none" w:sz="0" w:space="0" w:color="auto"/>
                <w:bottom w:val="none" w:sz="0" w:space="0" w:color="auto"/>
                <w:right w:val="none" w:sz="0" w:space="0" w:color="auto"/>
              </w:divBdr>
              <w:divsChild>
                <w:div w:id="515123646">
                  <w:marLeft w:val="0"/>
                  <w:marRight w:val="0"/>
                  <w:marTop w:val="0"/>
                  <w:marBottom w:val="0"/>
                  <w:divBdr>
                    <w:top w:val="none" w:sz="0" w:space="0" w:color="auto"/>
                    <w:left w:val="none" w:sz="0" w:space="0" w:color="auto"/>
                    <w:bottom w:val="none" w:sz="0" w:space="0" w:color="auto"/>
                    <w:right w:val="none" w:sz="0" w:space="0" w:color="auto"/>
                  </w:divBdr>
                  <w:divsChild>
                    <w:div w:id="6531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2705">
              <w:marLeft w:val="0"/>
              <w:marRight w:val="0"/>
              <w:marTop w:val="0"/>
              <w:marBottom w:val="0"/>
              <w:divBdr>
                <w:top w:val="none" w:sz="0" w:space="0" w:color="auto"/>
                <w:left w:val="none" w:sz="0" w:space="0" w:color="auto"/>
                <w:bottom w:val="none" w:sz="0" w:space="0" w:color="auto"/>
                <w:right w:val="none" w:sz="0" w:space="0" w:color="auto"/>
              </w:divBdr>
              <w:divsChild>
                <w:div w:id="1896234244">
                  <w:marLeft w:val="0"/>
                  <w:marRight w:val="0"/>
                  <w:marTop w:val="0"/>
                  <w:marBottom w:val="0"/>
                  <w:divBdr>
                    <w:top w:val="none" w:sz="0" w:space="0" w:color="auto"/>
                    <w:left w:val="none" w:sz="0" w:space="0" w:color="auto"/>
                    <w:bottom w:val="none" w:sz="0" w:space="0" w:color="auto"/>
                    <w:right w:val="none" w:sz="0" w:space="0" w:color="auto"/>
                  </w:divBdr>
                  <w:divsChild>
                    <w:div w:id="1011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14407">
          <w:marLeft w:val="0"/>
          <w:marRight w:val="0"/>
          <w:marTop w:val="0"/>
          <w:marBottom w:val="240"/>
          <w:divBdr>
            <w:top w:val="none" w:sz="0" w:space="0" w:color="auto"/>
            <w:left w:val="none" w:sz="0" w:space="0" w:color="auto"/>
            <w:bottom w:val="none" w:sz="0" w:space="0" w:color="auto"/>
            <w:right w:val="none" w:sz="0" w:space="0" w:color="auto"/>
          </w:divBdr>
          <w:divsChild>
            <w:div w:id="746614623">
              <w:marLeft w:val="0"/>
              <w:marRight w:val="0"/>
              <w:marTop w:val="0"/>
              <w:marBottom w:val="0"/>
              <w:divBdr>
                <w:top w:val="none" w:sz="0" w:space="0" w:color="auto"/>
                <w:left w:val="none" w:sz="0" w:space="0" w:color="auto"/>
                <w:bottom w:val="none" w:sz="0" w:space="0" w:color="auto"/>
                <w:right w:val="none" w:sz="0" w:space="0" w:color="auto"/>
              </w:divBdr>
            </w:div>
            <w:div w:id="2140801027">
              <w:marLeft w:val="0"/>
              <w:marRight w:val="0"/>
              <w:marTop w:val="240"/>
              <w:marBottom w:val="240"/>
              <w:divBdr>
                <w:top w:val="single" w:sz="6" w:space="9" w:color="E0E0E0"/>
                <w:left w:val="single" w:sz="6" w:space="12" w:color="E0E0E0"/>
                <w:bottom w:val="single" w:sz="6" w:space="9" w:color="E0E0E0"/>
                <w:right w:val="single" w:sz="6" w:space="12" w:color="E0E0E0"/>
              </w:divBdr>
              <w:divsChild>
                <w:div w:id="1082918294">
                  <w:marLeft w:val="0"/>
                  <w:marRight w:val="0"/>
                  <w:marTop w:val="0"/>
                  <w:marBottom w:val="0"/>
                  <w:divBdr>
                    <w:top w:val="none" w:sz="0" w:space="0" w:color="auto"/>
                    <w:left w:val="none" w:sz="0" w:space="0" w:color="auto"/>
                    <w:bottom w:val="none" w:sz="0" w:space="0" w:color="auto"/>
                    <w:right w:val="none" w:sz="0" w:space="0" w:color="auto"/>
                  </w:divBdr>
                </w:div>
                <w:div w:id="526984415">
                  <w:marLeft w:val="0"/>
                  <w:marRight w:val="0"/>
                  <w:marTop w:val="0"/>
                  <w:marBottom w:val="0"/>
                  <w:divBdr>
                    <w:top w:val="none" w:sz="0" w:space="0" w:color="auto"/>
                    <w:left w:val="none" w:sz="0" w:space="0" w:color="auto"/>
                    <w:bottom w:val="none" w:sz="0" w:space="0" w:color="auto"/>
                    <w:right w:val="none" w:sz="0" w:space="0" w:color="auto"/>
                  </w:divBdr>
                </w:div>
              </w:divsChild>
            </w:div>
            <w:div w:id="842086148">
              <w:marLeft w:val="0"/>
              <w:marRight w:val="0"/>
              <w:marTop w:val="0"/>
              <w:marBottom w:val="120"/>
              <w:divBdr>
                <w:top w:val="none" w:sz="0" w:space="0" w:color="auto"/>
                <w:left w:val="none" w:sz="0" w:space="0" w:color="auto"/>
                <w:bottom w:val="none" w:sz="0" w:space="0" w:color="auto"/>
                <w:right w:val="none" w:sz="0" w:space="0" w:color="auto"/>
              </w:divBdr>
              <w:divsChild>
                <w:div w:id="212812012">
                  <w:marLeft w:val="0"/>
                  <w:marRight w:val="0"/>
                  <w:marTop w:val="0"/>
                  <w:marBottom w:val="240"/>
                  <w:divBdr>
                    <w:top w:val="none" w:sz="0" w:space="0" w:color="auto"/>
                    <w:left w:val="none" w:sz="0" w:space="0" w:color="auto"/>
                    <w:bottom w:val="none" w:sz="0" w:space="0" w:color="auto"/>
                    <w:right w:val="none" w:sz="0" w:space="0" w:color="auto"/>
                  </w:divBdr>
                  <w:divsChild>
                    <w:div w:id="898980994">
                      <w:marLeft w:val="0"/>
                      <w:marRight w:val="0"/>
                      <w:marTop w:val="0"/>
                      <w:marBottom w:val="0"/>
                      <w:divBdr>
                        <w:top w:val="none" w:sz="0" w:space="0" w:color="auto"/>
                        <w:left w:val="none" w:sz="0" w:space="0" w:color="auto"/>
                        <w:bottom w:val="none" w:sz="0" w:space="0" w:color="auto"/>
                        <w:right w:val="none" w:sz="0" w:space="0" w:color="auto"/>
                      </w:divBdr>
                      <w:divsChild>
                        <w:div w:id="323240566">
                          <w:marLeft w:val="0"/>
                          <w:marRight w:val="0"/>
                          <w:marTop w:val="0"/>
                          <w:marBottom w:val="0"/>
                          <w:divBdr>
                            <w:top w:val="none" w:sz="0" w:space="0" w:color="auto"/>
                            <w:left w:val="none" w:sz="0" w:space="0" w:color="auto"/>
                            <w:bottom w:val="none" w:sz="0" w:space="0" w:color="auto"/>
                            <w:right w:val="none" w:sz="0" w:space="0" w:color="auto"/>
                          </w:divBdr>
                          <w:divsChild>
                            <w:div w:id="294605527">
                              <w:marLeft w:val="0"/>
                              <w:marRight w:val="0"/>
                              <w:marTop w:val="0"/>
                              <w:marBottom w:val="0"/>
                              <w:divBdr>
                                <w:top w:val="none" w:sz="0" w:space="0" w:color="auto"/>
                                <w:left w:val="none" w:sz="0" w:space="0" w:color="auto"/>
                                <w:bottom w:val="none" w:sz="0" w:space="0" w:color="auto"/>
                                <w:right w:val="none" w:sz="0" w:space="0" w:color="auto"/>
                              </w:divBdr>
                              <w:divsChild>
                                <w:div w:id="1871799223">
                                  <w:marLeft w:val="0"/>
                                  <w:marRight w:val="0"/>
                                  <w:marTop w:val="0"/>
                                  <w:marBottom w:val="0"/>
                                  <w:divBdr>
                                    <w:top w:val="none" w:sz="0" w:space="0" w:color="auto"/>
                                    <w:left w:val="none" w:sz="0" w:space="0" w:color="auto"/>
                                    <w:bottom w:val="none" w:sz="0" w:space="0" w:color="auto"/>
                                    <w:right w:val="none" w:sz="0" w:space="0" w:color="auto"/>
                                  </w:divBdr>
                                  <w:divsChild>
                                    <w:div w:id="16280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2026-06-10T07:33:00Z</dcterms:created>
  <dcterms:modified xsi:type="dcterms:W3CDTF">2026-07-07T09:30:00Z</dcterms:modified>
</cp:coreProperties>
</file>