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12DE12" w14:textId="3FB80D0A" w:rsidR="00CD0BFB" w:rsidRPr="00C100D1" w:rsidRDefault="007B78F7" w:rsidP="00D0046E">
      <w:pPr>
        <w:spacing w:line="312" w:lineRule="auto"/>
        <w:jc w:val="center"/>
        <w:outlineLvl w:val="1"/>
        <w:rPr>
          <w:rFonts w:eastAsia="Times New Roman"/>
          <w:b/>
          <w:iCs/>
          <w:color w:val="000000"/>
          <w:sz w:val="38"/>
          <w:szCs w:val="26"/>
        </w:rPr>
      </w:pPr>
      <w:proofErr w:type="spellStart"/>
      <w:r w:rsidRPr="00C100D1">
        <w:rPr>
          <w:rFonts w:eastAsia="Times New Roman"/>
          <w:b/>
          <w:iCs/>
          <w:color w:val="000000"/>
          <w:sz w:val="38"/>
          <w:szCs w:val="26"/>
        </w:rPr>
        <w:t>G</w:t>
      </w:r>
      <w:r w:rsidR="00676C0C" w:rsidRPr="00C100D1">
        <w:rPr>
          <w:rFonts w:eastAsia="Times New Roman"/>
          <w:b/>
          <w:iCs/>
          <w:color w:val="000000"/>
          <w:sz w:val="38"/>
          <w:szCs w:val="26"/>
        </w:rPr>
        <w:t>iao</w:t>
      </w:r>
      <w:proofErr w:type="spellEnd"/>
      <w:r w:rsidR="00676C0C" w:rsidRPr="00C100D1">
        <w:rPr>
          <w:rFonts w:eastAsia="Times New Roman"/>
          <w:b/>
          <w:iCs/>
          <w:color w:val="000000"/>
          <w:sz w:val="38"/>
          <w:szCs w:val="26"/>
        </w:rPr>
        <w:t xml:space="preserve"> </w:t>
      </w:r>
      <w:proofErr w:type="spellStart"/>
      <w:r w:rsidR="00676C0C" w:rsidRPr="00C100D1">
        <w:rPr>
          <w:rFonts w:eastAsia="Times New Roman"/>
          <w:b/>
          <w:iCs/>
          <w:color w:val="000000"/>
          <w:sz w:val="38"/>
          <w:szCs w:val="26"/>
        </w:rPr>
        <w:t>dịch</w:t>
      </w:r>
      <w:proofErr w:type="spellEnd"/>
      <w:r w:rsidR="00676C0C" w:rsidRPr="00C100D1">
        <w:rPr>
          <w:rFonts w:eastAsia="Times New Roman"/>
          <w:b/>
          <w:iCs/>
          <w:color w:val="000000"/>
          <w:sz w:val="38"/>
          <w:szCs w:val="26"/>
        </w:rPr>
        <w:t xml:space="preserve"> </w:t>
      </w:r>
      <w:proofErr w:type="spellStart"/>
      <w:r w:rsidR="00676C0C" w:rsidRPr="00C100D1">
        <w:rPr>
          <w:rFonts w:eastAsia="Times New Roman"/>
          <w:b/>
          <w:iCs/>
          <w:color w:val="000000"/>
          <w:sz w:val="38"/>
          <w:szCs w:val="26"/>
        </w:rPr>
        <w:t>điện</w:t>
      </w:r>
      <w:proofErr w:type="spellEnd"/>
      <w:r w:rsidR="00676C0C" w:rsidRPr="00C100D1">
        <w:rPr>
          <w:rFonts w:eastAsia="Times New Roman"/>
          <w:b/>
          <w:iCs/>
          <w:color w:val="000000"/>
          <w:sz w:val="38"/>
          <w:szCs w:val="26"/>
        </w:rPr>
        <w:t xml:space="preserve"> </w:t>
      </w:r>
      <w:proofErr w:type="spellStart"/>
      <w:r w:rsidR="00676C0C" w:rsidRPr="00C100D1">
        <w:rPr>
          <w:rFonts w:eastAsia="Times New Roman"/>
          <w:b/>
          <w:iCs/>
          <w:color w:val="000000"/>
          <w:sz w:val="38"/>
          <w:szCs w:val="26"/>
        </w:rPr>
        <w:t>tử</w:t>
      </w:r>
      <w:proofErr w:type="spellEnd"/>
      <w:r w:rsidR="00676C0C" w:rsidRPr="00C100D1">
        <w:rPr>
          <w:rFonts w:eastAsia="Times New Roman"/>
          <w:b/>
          <w:iCs/>
          <w:color w:val="000000"/>
          <w:sz w:val="38"/>
          <w:szCs w:val="26"/>
        </w:rPr>
        <w:t xml:space="preserve"> </w:t>
      </w:r>
      <w:proofErr w:type="spellStart"/>
      <w:r w:rsidR="00676C0C" w:rsidRPr="00C100D1">
        <w:rPr>
          <w:rFonts w:eastAsia="Times New Roman"/>
          <w:b/>
          <w:iCs/>
          <w:color w:val="000000"/>
          <w:sz w:val="38"/>
          <w:szCs w:val="26"/>
        </w:rPr>
        <w:t>trong</w:t>
      </w:r>
      <w:proofErr w:type="spellEnd"/>
      <w:r w:rsidR="00676C0C" w:rsidRPr="00C100D1">
        <w:rPr>
          <w:rFonts w:eastAsia="Times New Roman"/>
          <w:b/>
          <w:iCs/>
          <w:color w:val="000000"/>
          <w:sz w:val="38"/>
          <w:szCs w:val="26"/>
        </w:rPr>
        <w:t xml:space="preserve"> </w:t>
      </w:r>
      <w:proofErr w:type="spellStart"/>
      <w:r w:rsidR="00676C0C" w:rsidRPr="00C100D1">
        <w:rPr>
          <w:rFonts w:eastAsia="Times New Roman"/>
          <w:b/>
          <w:iCs/>
          <w:color w:val="000000"/>
          <w:sz w:val="38"/>
          <w:szCs w:val="26"/>
        </w:rPr>
        <w:t>miễn</w:t>
      </w:r>
      <w:proofErr w:type="spellEnd"/>
      <w:r w:rsidR="00676C0C" w:rsidRPr="00C100D1">
        <w:rPr>
          <w:rFonts w:eastAsia="Times New Roman"/>
          <w:b/>
          <w:iCs/>
          <w:color w:val="000000"/>
          <w:sz w:val="38"/>
          <w:szCs w:val="26"/>
        </w:rPr>
        <w:t xml:space="preserve"> </w:t>
      </w:r>
      <w:proofErr w:type="spellStart"/>
      <w:r w:rsidR="00676C0C" w:rsidRPr="00C100D1">
        <w:rPr>
          <w:rFonts w:eastAsia="Times New Roman"/>
          <w:b/>
          <w:iCs/>
          <w:color w:val="000000"/>
          <w:sz w:val="38"/>
          <w:szCs w:val="26"/>
        </w:rPr>
        <w:t>giảm</w:t>
      </w:r>
      <w:proofErr w:type="spellEnd"/>
      <w:r w:rsidR="00676C0C" w:rsidRPr="00C100D1">
        <w:rPr>
          <w:rFonts w:eastAsia="Times New Roman"/>
          <w:b/>
          <w:iCs/>
          <w:color w:val="000000"/>
          <w:sz w:val="38"/>
          <w:szCs w:val="26"/>
        </w:rPr>
        <w:t xml:space="preserve"> </w:t>
      </w:r>
      <w:proofErr w:type="spellStart"/>
      <w:r w:rsidR="00676C0C" w:rsidRPr="00C100D1">
        <w:rPr>
          <w:rFonts w:eastAsia="Times New Roman"/>
          <w:b/>
          <w:iCs/>
          <w:color w:val="000000"/>
          <w:sz w:val="38"/>
          <w:szCs w:val="26"/>
        </w:rPr>
        <w:t>thuế</w:t>
      </w:r>
      <w:proofErr w:type="spellEnd"/>
    </w:p>
    <w:p w14:paraId="12D91B77" w14:textId="60B3BF26" w:rsidR="00D0046E" w:rsidRPr="00D0046E" w:rsidRDefault="00D0046E" w:rsidP="00D0046E">
      <w:pPr>
        <w:spacing w:line="312" w:lineRule="auto"/>
        <w:jc w:val="right"/>
        <w:outlineLvl w:val="1"/>
        <w:rPr>
          <w:rFonts w:eastAsia="Times New Roman"/>
          <w:i/>
          <w:iCs/>
          <w:color w:val="000000"/>
          <w:sz w:val="28"/>
          <w:szCs w:val="28"/>
        </w:rPr>
      </w:pPr>
      <w:proofErr w:type="spellStart"/>
      <w:r w:rsidRPr="00D0046E">
        <w:rPr>
          <w:rFonts w:eastAsia="Times New Roman"/>
          <w:i/>
          <w:iCs/>
          <w:color w:val="000000"/>
          <w:sz w:val="28"/>
          <w:szCs w:val="28"/>
        </w:rPr>
        <w:t>ThS</w:t>
      </w:r>
      <w:proofErr w:type="spellEnd"/>
      <w:r w:rsidRPr="00D0046E">
        <w:rPr>
          <w:rFonts w:eastAsia="Times New Roman"/>
          <w:i/>
          <w:iCs/>
          <w:color w:val="000000"/>
          <w:sz w:val="28"/>
          <w:szCs w:val="28"/>
        </w:rPr>
        <w:t xml:space="preserve">. </w:t>
      </w:r>
      <w:proofErr w:type="spellStart"/>
      <w:r w:rsidRPr="00D0046E">
        <w:rPr>
          <w:rFonts w:eastAsia="Times New Roman"/>
          <w:i/>
          <w:iCs/>
          <w:color w:val="000000"/>
          <w:sz w:val="28"/>
          <w:szCs w:val="28"/>
        </w:rPr>
        <w:t>Nguyễn</w:t>
      </w:r>
      <w:proofErr w:type="spellEnd"/>
      <w:r w:rsidRPr="00D0046E">
        <w:rPr>
          <w:rFonts w:eastAsia="Times New Roman"/>
          <w:i/>
          <w:iCs/>
          <w:color w:val="000000"/>
          <w:sz w:val="28"/>
          <w:szCs w:val="28"/>
        </w:rPr>
        <w:t xml:space="preserve"> </w:t>
      </w:r>
      <w:proofErr w:type="spellStart"/>
      <w:r w:rsidRPr="00D0046E">
        <w:rPr>
          <w:rFonts w:eastAsia="Times New Roman"/>
          <w:i/>
          <w:iCs/>
          <w:color w:val="000000"/>
          <w:sz w:val="28"/>
          <w:szCs w:val="28"/>
        </w:rPr>
        <w:t>Khánh</w:t>
      </w:r>
      <w:proofErr w:type="spellEnd"/>
      <w:r w:rsidRPr="00D0046E">
        <w:rPr>
          <w:rFonts w:eastAsia="Times New Roman"/>
          <w:i/>
          <w:iCs/>
          <w:color w:val="000000"/>
          <w:sz w:val="28"/>
          <w:szCs w:val="28"/>
        </w:rPr>
        <w:t xml:space="preserve"> Thu </w:t>
      </w:r>
      <w:proofErr w:type="spellStart"/>
      <w:r w:rsidRPr="00D0046E">
        <w:rPr>
          <w:rFonts w:eastAsia="Times New Roman"/>
          <w:i/>
          <w:iCs/>
          <w:color w:val="000000"/>
          <w:sz w:val="28"/>
          <w:szCs w:val="28"/>
        </w:rPr>
        <w:t>Hằng</w:t>
      </w:r>
      <w:proofErr w:type="spellEnd"/>
    </w:p>
    <w:p w14:paraId="6AB90652" w14:textId="77777777" w:rsidR="00D0046E" w:rsidRDefault="00D0046E" w:rsidP="005D7C41">
      <w:pPr>
        <w:spacing w:line="312" w:lineRule="auto"/>
        <w:jc w:val="both"/>
        <w:outlineLvl w:val="1"/>
        <w:rPr>
          <w:rFonts w:eastAsia="Times New Roman"/>
          <w:iCs/>
          <w:color w:val="000000"/>
          <w:sz w:val="26"/>
          <w:szCs w:val="26"/>
        </w:rPr>
      </w:pPr>
    </w:p>
    <w:p w14:paraId="573458BF" w14:textId="76FD5F01" w:rsidR="00D0046E" w:rsidRPr="00D0046E" w:rsidRDefault="00D0046E" w:rsidP="005D7C41">
      <w:pPr>
        <w:spacing w:line="312" w:lineRule="auto"/>
        <w:jc w:val="both"/>
        <w:outlineLvl w:val="1"/>
        <w:rPr>
          <w:rFonts w:eastAsia="Times New Roman"/>
          <w:b/>
          <w:iCs/>
          <w:color w:val="000000"/>
          <w:sz w:val="26"/>
          <w:szCs w:val="26"/>
        </w:rPr>
      </w:pPr>
      <w:r>
        <w:rPr>
          <w:rFonts w:eastAsia="Times New Roman"/>
          <w:iCs/>
          <w:color w:val="000000"/>
          <w:sz w:val="26"/>
          <w:szCs w:val="26"/>
        </w:rPr>
        <w:tab/>
      </w:r>
      <w:proofErr w:type="spellStart"/>
      <w:r w:rsidRPr="00D0046E">
        <w:rPr>
          <w:rFonts w:eastAsia="Times New Roman"/>
          <w:b/>
          <w:iCs/>
          <w:color w:val="000000"/>
          <w:sz w:val="26"/>
          <w:szCs w:val="26"/>
        </w:rPr>
        <w:t>Tóm</w:t>
      </w:r>
      <w:proofErr w:type="spellEnd"/>
      <w:r w:rsidRPr="00D0046E">
        <w:rPr>
          <w:rFonts w:eastAsia="Times New Roman"/>
          <w:b/>
          <w:iCs/>
          <w:color w:val="000000"/>
          <w:sz w:val="26"/>
          <w:szCs w:val="26"/>
        </w:rPr>
        <w:t xml:space="preserve"> </w:t>
      </w:r>
      <w:proofErr w:type="spellStart"/>
      <w:r w:rsidRPr="00D0046E">
        <w:rPr>
          <w:rFonts w:eastAsia="Times New Roman"/>
          <w:b/>
          <w:iCs/>
          <w:color w:val="000000"/>
          <w:sz w:val="26"/>
          <w:szCs w:val="26"/>
        </w:rPr>
        <w:t>tắt</w:t>
      </w:r>
      <w:proofErr w:type="spellEnd"/>
    </w:p>
    <w:p w14:paraId="5CDE2DF5" w14:textId="4E85F23B" w:rsidR="004C1F73" w:rsidRPr="00D0046E" w:rsidRDefault="0048455D" w:rsidP="00D0046E">
      <w:pPr>
        <w:spacing w:line="312" w:lineRule="auto"/>
        <w:ind w:firstLine="720"/>
        <w:jc w:val="both"/>
        <w:outlineLvl w:val="1"/>
        <w:rPr>
          <w:color w:val="000000"/>
          <w:sz w:val="26"/>
          <w:szCs w:val="26"/>
        </w:rPr>
      </w:pPr>
      <w:proofErr w:type="spellStart"/>
      <w:r w:rsidRPr="00D0046E">
        <w:rPr>
          <w:rFonts w:eastAsia="Times New Roman"/>
          <w:iCs/>
          <w:color w:val="000000"/>
          <w:sz w:val="26"/>
          <w:szCs w:val="26"/>
        </w:rPr>
        <w:t>N</w:t>
      </w:r>
      <w:r w:rsidRPr="00901144">
        <w:rPr>
          <w:rFonts w:eastAsia="Times New Roman"/>
          <w:iCs/>
          <w:color w:val="000000"/>
          <w:sz w:val="26"/>
          <w:szCs w:val="26"/>
        </w:rPr>
        <w:t>gày</w:t>
      </w:r>
      <w:proofErr w:type="spellEnd"/>
      <w:r w:rsidRPr="00901144">
        <w:rPr>
          <w:rFonts w:eastAsia="Times New Roman"/>
          <w:iCs/>
          <w:color w:val="000000"/>
          <w:sz w:val="26"/>
          <w:szCs w:val="26"/>
        </w:rPr>
        <w:t xml:space="preserve"> 18/3/2021 </w:t>
      </w:r>
      <w:proofErr w:type="spellStart"/>
      <w:r w:rsidRPr="00901144">
        <w:rPr>
          <w:rFonts w:eastAsia="Times New Roman"/>
          <w:iCs/>
          <w:color w:val="000000"/>
          <w:sz w:val="26"/>
          <w:szCs w:val="26"/>
        </w:rPr>
        <w:t>của</w:t>
      </w:r>
      <w:proofErr w:type="spellEnd"/>
      <w:r w:rsidRPr="00901144">
        <w:rPr>
          <w:rFonts w:eastAsia="Times New Roman"/>
          <w:iCs/>
          <w:color w:val="000000"/>
          <w:sz w:val="26"/>
          <w:szCs w:val="26"/>
        </w:rPr>
        <w:t xml:space="preserve"> </w:t>
      </w:r>
      <w:proofErr w:type="spellStart"/>
      <w:r w:rsidRPr="00901144">
        <w:rPr>
          <w:rFonts w:eastAsia="Times New Roman"/>
          <w:iCs/>
          <w:color w:val="000000"/>
          <w:sz w:val="26"/>
          <w:szCs w:val="26"/>
        </w:rPr>
        <w:t>Bộ</w:t>
      </w:r>
      <w:proofErr w:type="spellEnd"/>
      <w:r w:rsidRPr="00901144">
        <w:rPr>
          <w:rFonts w:eastAsia="Times New Roman"/>
          <w:iCs/>
          <w:color w:val="000000"/>
          <w:sz w:val="26"/>
          <w:szCs w:val="26"/>
        </w:rPr>
        <w:t xml:space="preserve"> </w:t>
      </w:r>
      <w:proofErr w:type="spellStart"/>
      <w:r w:rsidRPr="00901144">
        <w:rPr>
          <w:rFonts w:eastAsia="Times New Roman"/>
          <w:iCs/>
          <w:color w:val="000000"/>
          <w:sz w:val="26"/>
          <w:szCs w:val="26"/>
        </w:rPr>
        <w:t>Tài</w:t>
      </w:r>
      <w:proofErr w:type="spellEnd"/>
      <w:r w:rsidRPr="00901144">
        <w:rPr>
          <w:rFonts w:eastAsia="Times New Roman"/>
          <w:iCs/>
          <w:color w:val="000000"/>
          <w:sz w:val="26"/>
          <w:szCs w:val="26"/>
        </w:rPr>
        <w:t xml:space="preserve"> </w:t>
      </w:r>
      <w:proofErr w:type="spellStart"/>
      <w:r w:rsidRPr="00901144">
        <w:rPr>
          <w:rFonts w:eastAsia="Times New Roman"/>
          <w:iCs/>
          <w:color w:val="000000"/>
          <w:sz w:val="26"/>
          <w:szCs w:val="26"/>
        </w:rPr>
        <w:t>chính</w:t>
      </w:r>
      <w:proofErr w:type="spellEnd"/>
      <w:r w:rsidRPr="00D0046E">
        <w:rPr>
          <w:rFonts w:eastAsia="Times New Roman"/>
          <w:iCs/>
          <w:color w:val="000000"/>
          <w:sz w:val="26"/>
          <w:szCs w:val="26"/>
        </w:rPr>
        <w:t xml:space="preserve"> </w:t>
      </w:r>
      <w:r w:rsidR="00D0046E">
        <w:rPr>
          <w:rFonts w:eastAsia="Times New Roman"/>
          <w:iCs/>
          <w:color w:val="000000"/>
          <w:sz w:val="26"/>
          <w:szCs w:val="26"/>
        </w:rPr>
        <w:t xml:space="preserve">ban </w:t>
      </w:r>
      <w:proofErr w:type="spellStart"/>
      <w:r w:rsidR="00D0046E">
        <w:rPr>
          <w:rFonts w:eastAsia="Times New Roman"/>
          <w:iCs/>
          <w:color w:val="000000"/>
          <w:sz w:val="26"/>
          <w:szCs w:val="26"/>
        </w:rPr>
        <w:t>hành</w:t>
      </w:r>
      <w:proofErr w:type="spellEnd"/>
      <w:r w:rsidR="00D0046E">
        <w:rPr>
          <w:rFonts w:eastAsia="Times New Roman"/>
          <w:iCs/>
          <w:color w:val="000000"/>
          <w:sz w:val="26"/>
          <w:szCs w:val="26"/>
        </w:rPr>
        <w:t xml:space="preserve"> </w:t>
      </w:r>
      <w:proofErr w:type="spellStart"/>
      <w:r w:rsidR="00901144" w:rsidRPr="00901144">
        <w:rPr>
          <w:rFonts w:eastAsia="Times New Roman"/>
          <w:iCs/>
          <w:color w:val="000000"/>
          <w:sz w:val="26"/>
          <w:szCs w:val="26"/>
        </w:rPr>
        <w:t>Thông</w:t>
      </w:r>
      <w:proofErr w:type="spellEnd"/>
      <w:r w:rsidR="00901144" w:rsidRPr="00901144">
        <w:rPr>
          <w:rFonts w:eastAsia="Times New Roman"/>
          <w:iCs/>
          <w:color w:val="000000"/>
          <w:sz w:val="26"/>
          <w:szCs w:val="26"/>
        </w:rPr>
        <w:t xml:space="preserve"> </w:t>
      </w:r>
      <w:proofErr w:type="spellStart"/>
      <w:r w:rsidR="00901144" w:rsidRPr="00901144">
        <w:rPr>
          <w:rFonts w:eastAsia="Times New Roman"/>
          <w:iCs/>
          <w:color w:val="000000"/>
          <w:sz w:val="26"/>
          <w:szCs w:val="26"/>
        </w:rPr>
        <w:t>tư</w:t>
      </w:r>
      <w:proofErr w:type="spellEnd"/>
      <w:r w:rsidR="00901144" w:rsidRPr="00901144">
        <w:rPr>
          <w:rFonts w:eastAsia="Times New Roman"/>
          <w:iCs/>
          <w:color w:val="000000"/>
          <w:sz w:val="26"/>
          <w:szCs w:val="26"/>
        </w:rPr>
        <w:t xml:space="preserve"> </w:t>
      </w:r>
      <w:proofErr w:type="spellStart"/>
      <w:r w:rsidR="00901144" w:rsidRPr="00901144">
        <w:rPr>
          <w:rFonts w:eastAsia="Times New Roman"/>
          <w:iCs/>
          <w:color w:val="000000"/>
          <w:sz w:val="26"/>
          <w:szCs w:val="26"/>
        </w:rPr>
        <w:t>số</w:t>
      </w:r>
      <w:proofErr w:type="spellEnd"/>
      <w:r w:rsidR="00901144" w:rsidRPr="00901144">
        <w:rPr>
          <w:rFonts w:eastAsia="Times New Roman"/>
          <w:iCs/>
          <w:color w:val="000000"/>
          <w:sz w:val="26"/>
          <w:szCs w:val="26"/>
        </w:rPr>
        <w:t xml:space="preserve"> 19/2021/TT-BTC</w:t>
      </w:r>
      <w:r w:rsidR="00B3021C" w:rsidRPr="00D0046E">
        <w:rPr>
          <w:rFonts w:eastAsia="Times New Roman"/>
          <w:iCs/>
          <w:color w:val="000000"/>
          <w:sz w:val="26"/>
          <w:szCs w:val="26"/>
        </w:rPr>
        <w:t xml:space="preserve"> </w:t>
      </w:r>
      <w:proofErr w:type="spellStart"/>
      <w:r w:rsidR="00901144" w:rsidRPr="00901144">
        <w:rPr>
          <w:rFonts w:eastAsia="Times New Roman"/>
          <w:iCs/>
          <w:color w:val="000000"/>
          <w:sz w:val="26"/>
          <w:szCs w:val="26"/>
        </w:rPr>
        <w:t>hướng</w:t>
      </w:r>
      <w:proofErr w:type="spellEnd"/>
      <w:r w:rsidR="00901144" w:rsidRPr="00901144">
        <w:rPr>
          <w:rFonts w:eastAsia="Times New Roman"/>
          <w:iCs/>
          <w:color w:val="000000"/>
          <w:sz w:val="26"/>
          <w:szCs w:val="26"/>
        </w:rPr>
        <w:t xml:space="preserve"> </w:t>
      </w:r>
      <w:proofErr w:type="spellStart"/>
      <w:r w:rsidR="00901144" w:rsidRPr="00901144">
        <w:rPr>
          <w:rFonts w:eastAsia="Times New Roman"/>
          <w:iCs/>
          <w:color w:val="000000"/>
          <w:sz w:val="26"/>
          <w:szCs w:val="26"/>
        </w:rPr>
        <w:t>dẫn</w:t>
      </w:r>
      <w:proofErr w:type="spellEnd"/>
      <w:r w:rsidR="00901144" w:rsidRPr="00901144">
        <w:rPr>
          <w:rFonts w:eastAsia="Times New Roman"/>
          <w:iCs/>
          <w:color w:val="000000"/>
          <w:sz w:val="26"/>
          <w:szCs w:val="26"/>
        </w:rPr>
        <w:t xml:space="preserve"> </w:t>
      </w:r>
      <w:proofErr w:type="spellStart"/>
      <w:r w:rsidR="00901144" w:rsidRPr="00901144">
        <w:rPr>
          <w:rFonts w:eastAsia="Times New Roman"/>
          <w:iCs/>
          <w:color w:val="000000"/>
          <w:sz w:val="26"/>
          <w:szCs w:val="26"/>
        </w:rPr>
        <w:t>giao</w:t>
      </w:r>
      <w:proofErr w:type="spellEnd"/>
      <w:r w:rsidR="00901144" w:rsidRPr="00901144">
        <w:rPr>
          <w:rFonts w:eastAsia="Times New Roman"/>
          <w:iCs/>
          <w:color w:val="000000"/>
          <w:sz w:val="26"/>
          <w:szCs w:val="26"/>
        </w:rPr>
        <w:t xml:space="preserve"> </w:t>
      </w:r>
      <w:proofErr w:type="spellStart"/>
      <w:r w:rsidR="00901144" w:rsidRPr="00901144">
        <w:rPr>
          <w:rFonts w:eastAsia="Times New Roman"/>
          <w:iCs/>
          <w:color w:val="000000"/>
          <w:sz w:val="26"/>
          <w:szCs w:val="26"/>
        </w:rPr>
        <w:t>dịch</w:t>
      </w:r>
      <w:proofErr w:type="spellEnd"/>
      <w:r w:rsidR="00901144" w:rsidRPr="00901144">
        <w:rPr>
          <w:rFonts w:eastAsia="Times New Roman"/>
          <w:iCs/>
          <w:color w:val="000000"/>
          <w:sz w:val="26"/>
          <w:szCs w:val="26"/>
        </w:rPr>
        <w:t xml:space="preserve"> </w:t>
      </w:r>
      <w:proofErr w:type="spellStart"/>
      <w:r w:rsidR="00901144" w:rsidRPr="00901144">
        <w:rPr>
          <w:rFonts w:eastAsia="Times New Roman"/>
          <w:iCs/>
          <w:color w:val="000000"/>
          <w:sz w:val="26"/>
          <w:szCs w:val="26"/>
        </w:rPr>
        <w:t>điện</w:t>
      </w:r>
      <w:proofErr w:type="spellEnd"/>
      <w:r w:rsidR="00901144" w:rsidRPr="00901144">
        <w:rPr>
          <w:rFonts w:eastAsia="Times New Roman"/>
          <w:iCs/>
          <w:color w:val="000000"/>
          <w:sz w:val="26"/>
          <w:szCs w:val="26"/>
        </w:rPr>
        <w:t xml:space="preserve"> </w:t>
      </w:r>
      <w:proofErr w:type="spellStart"/>
      <w:r w:rsidR="00901144" w:rsidRPr="00901144">
        <w:rPr>
          <w:rFonts w:eastAsia="Times New Roman"/>
          <w:iCs/>
          <w:color w:val="000000"/>
          <w:sz w:val="26"/>
          <w:szCs w:val="26"/>
        </w:rPr>
        <w:t>tử</w:t>
      </w:r>
      <w:proofErr w:type="spellEnd"/>
      <w:r w:rsidR="00901144" w:rsidRPr="00901144">
        <w:rPr>
          <w:rFonts w:eastAsia="Times New Roman"/>
          <w:iCs/>
          <w:color w:val="000000"/>
          <w:sz w:val="26"/>
          <w:szCs w:val="26"/>
        </w:rPr>
        <w:t xml:space="preserve"> </w:t>
      </w:r>
      <w:proofErr w:type="spellStart"/>
      <w:r w:rsidR="00901144" w:rsidRPr="00901144">
        <w:rPr>
          <w:rFonts w:eastAsia="Times New Roman"/>
          <w:iCs/>
          <w:color w:val="000000"/>
          <w:sz w:val="26"/>
          <w:szCs w:val="26"/>
        </w:rPr>
        <w:t>trong</w:t>
      </w:r>
      <w:proofErr w:type="spellEnd"/>
      <w:r w:rsidR="00901144" w:rsidRPr="00901144">
        <w:rPr>
          <w:rFonts w:eastAsia="Times New Roman"/>
          <w:iCs/>
          <w:color w:val="000000"/>
          <w:sz w:val="26"/>
          <w:szCs w:val="26"/>
        </w:rPr>
        <w:t xml:space="preserve"> </w:t>
      </w:r>
      <w:proofErr w:type="spellStart"/>
      <w:r w:rsidR="00901144" w:rsidRPr="00901144">
        <w:rPr>
          <w:rFonts w:eastAsia="Times New Roman"/>
          <w:iCs/>
          <w:color w:val="000000"/>
          <w:sz w:val="26"/>
          <w:szCs w:val="26"/>
        </w:rPr>
        <w:t>lĩnh</w:t>
      </w:r>
      <w:proofErr w:type="spellEnd"/>
      <w:r w:rsidR="00901144" w:rsidRPr="00901144">
        <w:rPr>
          <w:rFonts w:eastAsia="Times New Roman"/>
          <w:iCs/>
          <w:color w:val="000000"/>
          <w:sz w:val="26"/>
          <w:szCs w:val="26"/>
        </w:rPr>
        <w:t xml:space="preserve"> </w:t>
      </w:r>
      <w:proofErr w:type="spellStart"/>
      <w:r w:rsidR="00901144" w:rsidRPr="00901144">
        <w:rPr>
          <w:rFonts w:eastAsia="Times New Roman"/>
          <w:iCs/>
          <w:color w:val="000000"/>
          <w:sz w:val="26"/>
          <w:szCs w:val="26"/>
        </w:rPr>
        <w:t>vực</w:t>
      </w:r>
      <w:proofErr w:type="spellEnd"/>
      <w:r w:rsidR="00901144" w:rsidRPr="00901144">
        <w:rPr>
          <w:rFonts w:eastAsia="Times New Roman"/>
          <w:iCs/>
          <w:color w:val="000000"/>
          <w:sz w:val="26"/>
          <w:szCs w:val="26"/>
        </w:rPr>
        <w:t xml:space="preserve"> </w:t>
      </w:r>
      <w:proofErr w:type="spellStart"/>
      <w:r w:rsidR="00901144" w:rsidRPr="00901144">
        <w:rPr>
          <w:rFonts w:eastAsia="Times New Roman"/>
          <w:iCs/>
          <w:color w:val="000000"/>
          <w:sz w:val="26"/>
          <w:szCs w:val="26"/>
        </w:rPr>
        <w:t>thuế</w:t>
      </w:r>
      <w:proofErr w:type="spellEnd"/>
      <w:r w:rsidR="00901144" w:rsidRPr="00901144">
        <w:rPr>
          <w:rFonts w:eastAsia="Times New Roman"/>
          <w:iCs/>
          <w:color w:val="000000"/>
          <w:sz w:val="26"/>
          <w:szCs w:val="26"/>
        </w:rPr>
        <w:t>.</w:t>
      </w:r>
      <w:r w:rsidR="00D0046E">
        <w:rPr>
          <w:rFonts w:eastAsia="Times New Roman"/>
          <w:iCs/>
          <w:color w:val="000000"/>
          <w:sz w:val="26"/>
          <w:szCs w:val="26"/>
        </w:rPr>
        <w:t xml:space="preserve"> </w:t>
      </w:r>
      <w:proofErr w:type="spellStart"/>
      <w:r w:rsidR="00D0046E">
        <w:rPr>
          <w:rFonts w:eastAsia="Times New Roman"/>
          <w:iCs/>
          <w:color w:val="000000"/>
          <w:sz w:val="26"/>
          <w:szCs w:val="26"/>
        </w:rPr>
        <w:t>Thông</w:t>
      </w:r>
      <w:proofErr w:type="spellEnd"/>
      <w:r w:rsidR="00D0046E">
        <w:rPr>
          <w:rFonts w:eastAsia="Times New Roman"/>
          <w:iCs/>
          <w:color w:val="000000"/>
          <w:sz w:val="26"/>
          <w:szCs w:val="26"/>
        </w:rPr>
        <w:t xml:space="preserve"> </w:t>
      </w:r>
      <w:proofErr w:type="spellStart"/>
      <w:r w:rsidR="00D0046E">
        <w:rPr>
          <w:rFonts w:eastAsia="Times New Roman"/>
          <w:iCs/>
          <w:color w:val="000000"/>
          <w:sz w:val="26"/>
          <w:szCs w:val="26"/>
        </w:rPr>
        <w:t>tư</w:t>
      </w:r>
      <w:proofErr w:type="spellEnd"/>
      <w:r w:rsidR="00D0046E">
        <w:rPr>
          <w:rFonts w:eastAsia="Times New Roman"/>
          <w:iCs/>
          <w:color w:val="000000"/>
          <w:sz w:val="26"/>
          <w:szCs w:val="26"/>
        </w:rPr>
        <w:t xml:space="preserve"> </w:t>
      </w:r>
      <w:proofErr w:type="spellStart"/>
      <w:r w:rsidR="00D0046E">
        <w:rPr>
          <w:rFonts w:eastAsia="Times New Roman"/>
          <w:iCs/>
          <w:color w:val="000000"/>
          <w:sz w:val="26"/>
          <w:szCs w:val="26"/>
        </w:rPr>
        <w:t>này</w:t>
      </w:r>
      <w:proofErr w:type="spellEnd"/>
      <w:r w:rsidR="00D0046E">
        <w:rPr>
          <w:rFonts w:eastAsia="Times New Roman"/>
          <w:iCs/>
          <w:color w:val="000000"/>
          <w:sz w:val="26"/>
          <w:szCs w:val="26"/>
        </w:rPr>
        <w:t xml:space="preserve"> </w:t>
      </w:r>
      <w:proofErr w:type="spellStart"/>
      <w:r w:rsidR="00D0046E" w:rsidRPr="00D0046E">
        <w:rPr>
          <w:rFonts w:eastAsia="Times New Roman"/>
          <w:color w:val="000000"/>
          <w:sz w:val="26"/>
          <w:szCs w:val="26"/>
          <w:shd w:val="clear" w:color="auto" w:fill="FFFFFF"/>
        </w:rPr>
        <w:t>c</w:t>
      </w:r>
      <w:r w:rsidR="00D0046E">
        <w:rPr>
          <w:rFonts w:eastAsia="Times New Roman"/>
          <w:color w:val="000000"/>
          <w:sz w:val="26"/>
          <w:szCs w:val="26"/>
          <w:shd w:val="clear" w:color="auto" w:fill="FFFFFF"/>
        </w:rPr>
        <w:t>ó</w:t>
      </w:r>
      <w:proofErr w:type="spellEnd"/>
      <w:r w:rsidR="00D0046E">
        <w:rPr>
          <w:rFonts w:eastAsia="Times New Roman"/>
          <w:color w:val="000000"/>
          <w:sz w:val="26"/>
          <w:szCs w:val="26"/>
          <w:shd w:val="clear" w:color="auto" w:fill="FFFFFF"/>
        </w:rPr>
        <w:t xml:space="preserve"> </w:t>
      </w:r>
      <w:proofErr w:type="spellStart"/>
      <w:r w:rsidR="00D0046E">
        <w:rPr>
          <w:rFonts w:eastAsia="Times New Roman"/>
          <w:color w:val="000000"/>
          <w:sz w:val="26"/>
          <w:szCs w:val="26"/>
          <w:shd w:val="clear" w:color="auto" w:fill="FFFFFF"/>
        </w:rPr>
        <w:t>hiệu</w:t>
      </w:r>
      <w:proofErr w:type="spellEnd"/>
      <w:r w:rsidR="00D0046E">
        <w:rPr>
          <w:rFonts w:eastAsia="Times New Roman"/>
          <w:color w:val="000000"/>
          <w:sz w:val="26"/>
          <w:szCs w:val="26"/>
          <w:shd w:val="clear" w:color="auto" w:fill="FFFFFF"/>
        </w:rPr>
        <w:t xml:space="preserve"> </w:t>
      </w:r>
      <w:proofErr w:type="spellStart"/>
      <w:r w:rsidR="00D0046E">
        <w:rPr>
          <w:rFonts w:eastAsia="Times New Roman"/>
          <w:color w:val="000000"/>
          <w:sz w:val="26"/>
          <w:szCs w:val="26"/>
          <w:shd w:val="clear" w:color="auto" w:fill="FFFFFF"/>
        </w:rPr>
        <w:t>lực</w:t>
      </w:r>
      <w:proofErr w:type="spellEnd"/>
      <w:r w:rsidR="00D0046E">
        <w:rPr>
          <w:rFonts w:eastAsia="Times New Roman"/>
          <w:color w:val="000000"/>
          <w:sz w:val="26"/>
          <w:szCs w:val="26"/>
          <w:shd w:val="clear" w:color="auto" w:fill="FFFFFF"/>
        </w:rPr>
        <w:t xml:space="preserve"> </w:t>
      </w:r>
      <w:proofErr w:type="spellStart"/>
      <w:r w:rsidR="00D0046E">
        <w:rPr>
          <w:rFonts w:eastAsia="Times New Roman"/>
          <w:color w:val="000000"/>
          <w:sz w:val="26"/>
          <w:szCs w:val="26"/>
          <w:shd w:val="clear" w:color="auto" w:fill="FFFFFF"/>
        </w:rPr>
        <w:t>kể</w:t>
      </w:r>
      <w:proofErr w:type="spellEnd"/>
      <w:r w:rsidR="00D0046E">
        <w:rPr>
          <w:rFonts w:eastAsia="Times New Roman"/>
          <w:color w:val="000000"/>
          <w:sz w:val="26"/>
          <w:szCs w:val="26"/>
          <w:shd w:val="clear" w:color="auto" w:fill="FFFFFF"/>
        </w:rPr>
        <w:t xml:space="preserve"> </w:t>
      </w:r>
      <w:proofErr w:type="spellStart"/>
      <w:r w:rsidR="00D0046E">
        <w:rPr>
          <w:rFonts w:eastAsia="Times New Roman"/>
          <w:color w:val="000000"/>
          <w:sz w:val="26"/>
          <w:szCs w:val="26"/>
          <w:shd w:val="clear" w:color="auto" w:fill="FFFFFF"/>
        </w:rPr>
        <w:t>từ</w:t>
      </w:r>
      <w:proofErr w:type="spellEnd"/>
      <w:r w:rsidR="00D0046E">
        <w:rPr>
          <w:rFonts w:eastAsia="Times New Roman"/>
          <w:color w:val="000000"/>
          <w:sz w:val="26"/>
          <w:szCs w:val="26"/>
          <w:shd w:val="clear" w:color="auto" w:fill="FFFFFF"/>
        </w:rPr>
        <w:t xml:space="preserve"> </w:t>
      </w:r>
      <w:proofErr w:type="spellStart"/>
      <w:r w:rsidR="00D0046E">
        <w:rPr>
          <w:rFonts w:eastAsia="Times New Roman"/>
          <w:color w:val="000000"/>
          <w:sz w:val="26"/>
          <w:szCs w:val="26"/>
          <w:shd w:val="clear" w:color="auto" w:fill="FFFFFF"/>
        </w:rPr>
        <w:t>ngày</w:t>
      </w:r>
      <w:proofErr w:type="spellEnd"/>
      <w:r w:rsidR="00D0046E">
        <w:rPr>
          <w:rFonts w:eastAsia="Times New Roman"/>
          <w:color w:val="000000"/>
          <w:sz w:val="26"/>
          <w:szCs w:val="26"/>
          <w:shd w:val="clear" w:color="auto" w:fill="FFFFFF"/>
        </w:rPr>
        <w:t xml:space="preserve"> 03/5/2021.</w:t>
      </w:r>
    </w:p>
    <w:p w14:paraId="1E48658F" w14:textId="77777777" w:rsidR="00E414C6" w:rsidRPr="00D0046E" w:rsidRDefault="00E414C6" w:rsidP="005D7C41">
      <w:pPr>
        <w:spacing w:line="312" w:lineRule="auto"/>
        <w:jc w:val="both"/>
        <w:outlineLvl w:val="1"/>
        <w:rPr>
          <w:color w:val="000000"/>
          <w:sz w:val="26"/>
          <w:szCs w:val="26"/>
        </w:rPr>
      </w:pPr>
    </w:p>
    <w:p w14:paraId="7AC45D88" w14:textId="4537155E" w:rsidR="00D02065" w:rsidRPr="00D0046E" w:rsidRDefault="00D02065" w:rsidP="005D7C41">
      <w:pPr>
        <w:spacing w:line="312" w:lineRule="auto"/>
        <w:ind w:firstLine="720"/>
        <w:jc w:val="both"/>
        <w:rPr>
          <w:color w:val="000000"/>
          <w:sz w:val="26"/>
          <w:szCs w:val="26"/>
          <w:lang w:val="vi-VN"/>
        </w:rPr>
      </w:pPr>
      <w:r w:rsidRPr="00D02065">
        <w:rPr>
          <w:rFonts w:eastAsia="Times New Roman"/>
          <w:iCs/>
          <w:color w:val="000000"/>
          <w:sz w:val="26"/>
          <w:szCs w:val="26"/>
          <w:lang w:val="vi-VN"/>
        </w:rPr>
        <w:t>Giao dịch thu</w:t>
      </w:r>
      <w:r w:rsidRPr="00D02065">
        <w:rPr>
          <w:rFonts w:eastAsia="Times New Roman"/>
          <w:iCs/>
          <w:color w:val="000000"/>
          <w:sz w:val="26"/>
          <w:szCs w:val="26"/>
        </w:rPr>
        <w:t>ế</w:t>
      </w:r>
      <w:r w:rsidRPr="00D0046E">
        <w:rPr>
          <w:rFonts w:eastAsia="Times New Roman"/>
          <w:iCs/>
          <w:color w:val="000000"/>
          <w:sz w:val="26"/>
          <w:szCs w:val="26"/>
        </w:rPr>
        <w:t> </w:t>
      </w:r>
      <w:r w:rsidRPr="00D02065">
        <w:rPr>
          <w:rFonts w:eastAsia="Times New Roman"/>
          <w:iCs/>
          <w:color w:val="000000"/>
          <w:sz w:val="26"/>
          <w:szCs w:val="26"/>
          <w:lang w:val="vi-VN"/>
        </w:rPr>
        <w:t>điện tử</w:t>
      </w:r>
      <w:r w:rsidRPr="00D0046E">
        <w:rPr>
          <w:rFonts w:eastAsia="Times New Roman"/>
          <w:iCs/>
          <w:color w:val="000000"/>
          <w:sz w:val="26"/>
          <w:szCs w:val="26"/>
          <w:lang w:val="vi-VN"/>
        </w:rPr>
        <w:t xml:space="preserve"> </w:t>
      </w:r>
      <w:r w:rsidRPr="00D0046E">
        <w:rPr>
          <w:rFonts w:eastAsia="Times New Roman"/>
          <w:color w:val="000000"/>
          <w:sz w:val="26"/>
          <w:szCs w:val="26"/>
          <w:lang w:val="vi-VN"/>
        </w:rPr>
        <w:t> </w:t>
      </w:r>
      <w:r w:rsidRPr="00D02065">
        <w:rPr>
          <w:rFonts w:eastAsia="Times New Roman"/>
          <w:color w:val="000000"/>
          <w:sz w:val="26"/>
          <w:szCs w:val="26"/>
          <w:lang w:val="vi-VN"/>
        </w:rPr>
        <w:t>là các giao dịch được các cơ quan, tổ chức, cá nhân thực hiện bằng phương thức đi</w:t>
      </w:r>
      <w:r w:rsidRPr="00D0046E">
        <w:rPr>
          <w:rFonts w:eastAsia="Times New Roman"/>
          <w:color w:val="000000"/>
          <w:sz w:val="26"/>
          <w:szCs w:val="26"/>
          <w:lang w:val="vi-VN"/>
        </w:rPr>
        <w:t xml:space="preserve">ện tử. </w:t>
      </w:r>
      <w:r w:rsidRPr="00D0046E">
        <w:rPr>
          <w:color w:val="000000"/>
          <w:sz w:val="26"/>
          <w:szCs w:val="26"/>
          <w:lang w:val="vi-VN"/>
        </w:rPr>
        <w:t>Giao dịch trong lĩnh vực thuế giữa người nộp thuế với cơ quan thuế bằng phương thức điện tử sau đây: Người nộp thuế thực hiện các thủ tục hành chính thuế theo quy định của Luật Quản lý thuế bao gồm: đăng ký thu</w:t>
      </w:r>
      <w:r w:rsidRPr="009024FF">
        <w:rPr>
          <w:color w:val="000000"/>
          <w:sz w:val="26"/>
          <w:szCs w:val="26"/>
          <w:lang w:val="vi-VN"/>
        </w:rPr>
        <w:t>ế</w:t>
      </w:r>
      <w:r w:rsidRPr="00D0046E">
        <w:rPr>
          <w:color w:val="000000"/>
          <w:sz w:val="26"/>
          <w:szCs w:val="26"/>
          <w:lang w:val="vi-VN"/>
        </w:rPr>
        <w:t>; khai thuế; nộp thuế; xác nhận việc thực hiện nghĩa vụ thuế; tra soát thông tin nộp thuế; thủ tục bù trừ tiền thuế, tiên chậm nộp, tiền phạt nộp thừa; hoàn thuế; miễn thuế, giảm thuế; miễn tiền chậm nộp; không tính tiền chậm nộp; khoanh tiền thuế nợ; xóa nợ tiền thuế, tiền chậm nộp, tiền phạt; gia hạn nộp thuế; nộp dần tiền thuế nợ và các hồ sơ, văn bản khác; Cơ quan thuế thực hiện gửi các thông báo, quyết định và các văn bản khác theo quy định của Luật Quản lý thuế cho người nộp thuế; Cơ quan thu</w:t>
      </w:r>
      <w:r w:rsidRPr="009024FF">
        <w:rPr>
          <w:color w:val="000000"/>
          <w:sz w:val="26"/>
          <w:szCs w:val="26"/>
          <w:lang w:val="vi-VN"/>
        </w:rPr>
        <w:t>ế</w:t>
      </w:r>
      <w:r w:rsidRPr="009024FF">
        <w:rPr>
          <w:rStyle w:val="apple-converted-space"/>
          <w:color w:val="000000"/>
          <w:sz w:val="26"/>
          <w:szCs w:val="26"/>
          <w:lang w:val="vi-VN"/>
        </w:rPr>
        <w:t> </w:t>
      </w:r>
      <w:r w:rsidRPr="00D0046E">
        <w:rPr>
          <w:color w:val="000000"/>
          <w:sz w:val="26"/>
          <w:szCs w:val="26"/>
          <w:lang w:val="vi-VN"/>
        </w:rPr>
        <w:t>cung cấp các dịch vụ hỗ trợ người nộp thuế bao gồm: tra cứu thông tin của người nộp thuế; tra cứu thông tin người phụ thuộc; tra cứu nghĩa vụ thu</w:t>
      </w:r>
      <w:r w:rsidRPr="009024FF">
        <w:rPr>
          <w:color w:val="000000"/>
          <w:sz w:val="26"/>
          <w:szCs w:val="26"/>
          <w:lang w:val="vi-VN"/>
        </w:rPr>
        <w:t>ế</w:t>
      </w:r>
      <w:r w:rsidRPr="00D0046E">
        <w:rPr>
          <w:color w:val="000000"/>
          <w:sz w:val="26"/>
          <w:szCs w:val="26"/>
          <w:lang w:val="vi-VN"/>
        </w:rPr>
        <w:t>; cung cấp thông tin cho người nộp thuế; tiếp nhận và trả lời vướng mắc của người nộp thuế và các dịch vụ hỗ trợ khác.</w:t>
      </w:r>
    </w:p>
    <w:p w14:paraId="05DCD0FA" w14:textId="7DACAA27" w:rsidR="00E414C6" w:rsidRPr="009024FF" w:rsidRDefault="00E414C6" w:rsidP="00F43B1D">
      <w:pPr>
        <w:spacing w:line="312" w:lineRule="auto"/>
        <w:ind w:firstLine="720"/>
        <w:rPr>
          <w:rFonts w:eastAsia="Times New Roman"/>
          <w:sz w:val="26"/>
          <w:szCs w:val="26"/>
          <w:lang w:val="vi-VN"/>
        </w:rPr>
      </w:pPr>
      <w:r w:rsidRPr="009024FF">
        <w:rPr>
          <w:rFonts w:eastAsia="Times New Roman"/>
          <w:color w:val="000000"/>
          <w:sz w:val="26"/>
          <w:szCs w:val="26"/>
          <w:shd w:val="clear" w:color="auto" w:fill="FFFFFF"/>
          <w:lang w:val="vi-VN"/>
        </w:rPr>
        <w:t>Thông tư số 19/2021/TT-BTC có hiệu lực kể từ ngày 03/5/2021và thay thế Thông tư số 110/2015/TT-BTC ngày 28/7/2015 và Thông tư sổ 66/2019/TT-BTC ngày 20/9/2019. Theo đó, giao dịch điện tử trong miễn giảm thuế được quy định cụ thể với các nội dung sau:</w:t>
      </w:r>
    </w:p>
    <w:p w14:paraId="5E143B25" w14:textId="396A27EE" w:rsidR="00D02065" w:rsidRPr="009024FF" w:rsidRDefault="00F837E0" w:rsidP="005D7C41">
      <w:pPr>
        <w:spacing w:line="312" w:lineRule="auto"/>
        <w:ind w:firstLine="720"/>
        <w:jc w:val="both"/>
        <w:rPr>
          <w:color w:val="000000"/>
          <w:sz w:val="26"/>
          <w:szCs w:val="26"/>
          <w:lang w:val="vi-VN"/>
        </w:rPr>
      </w:pPr>
      <w:r w:rsidRPr="00D0046E">
        <w:rPr>
          <w:color w:val="000000"/>
          <w:sz w:val="26"/>
          <w:szCs w:val="26"/>
          <w:lang w:val="vi-VN"/>
        </w:rPr>
        <w:t>Thứ nhất, n</w:t>
      </w:r>
      <w:r w:rsidR="00D02065" w:rsidRPr="00D02065">
        <w:rPr>
          <w:color w:val="000000"/>
          <w:sz w:val="26"/>
          <w:szCs w:val="26"/>
          <w:lang w:val="vi-VN"/>
        </w:rPr>
        <w:t>gười nộp thuế lập và gửi hồ sơ đề nghị miễn, giảm thuế đến cơ quan thuế như sau: Trường hợp hồ sơ đề nghị miễn, giảm thuế là Văn bản/Đơn đề nghị miễn giảm và các tài liệu kèm theo, người nộp thuế thực hiện lập và gửi hồ sơ miễn, giảm thuế đến cơ quan thuế theo quy định tại điểm a khoản 5 Điề</w:t>
      </w:r>
      <w:r w:rsidRPr="00D0046E">
        <w:rPr>
          <w:color w:val="000000"/>
          <w:sz w:val="26"/>
          <w:szCs w:val="26"/>
          <w:lang w:val="vi-VN"/>
        </w:rPr>
        <w:t xml:space="preserve">u 4 Thông tư này; </w:t>
      </w:r>
      <w:r w:rsidR="00D02065" w:rsidRPr="00D02065">
        <w:rPr>
          <w:color w:val="000000"/>
          <w:sz w:val="26"/>
          <w:szCs w:val="26"/>
          <w:lang w:val="vi-VN"/>
        </w:rPr>
        <w:t>Trường hợp người nộp thuế đề nghị miễn, giảm thuế trên hồ sơ khai thuế và không phải gửi Văn bản/Đơn đề nghị miễn giảm thì việc lập và gửi hồ sơ miễn, giảm thuế điện tử được thực hiện đồng thời với việc lập và gửi hồ sơ khai thuế điện tử theo quy định tại Điều 16 Thông tư này.</w:t>
      </w:r>
    </w:p>
    <w:p w14:paraId="0BB48DC8" w14:textId="59E39CD9" w:rsidR="00D02065" w:rsidRPr="009024FF" w:rsidRDefault="00F837E0" w:rsidP="005D7C41">
      <w:pPr>
        <w:spacing w:line="312" w:lineRule="auto"/>
        <w:ind w:firstLine="720"/>
        <w:jc w:val="both"/>
        <w:rPr>
          <w:color w:val="000000"/>
          <w:sz w:val="26"/>
          <w:szCs w:val="26"/>
          <w:lang w:val="vi-VN"/>
        </w:rPr>
      </w:pPr>
      <w:r w:rsidRPr="00D0046E">
        <w:rPr>
          <w:color w:val="000000"/>
          <w:sz w:val="26"/>
          <w:szCs w:val="26"/>
          <w:lang w:val="vi-VN"/>
        </w:rPr>
        <w:t>Thứ hai, t</w:t>
      </w:r>
      <w:r w:rsidR="00D02065" w:rsidRPr="00D02065">
        <w:rPr>
          <w:color w:val="000000"/>
          <w:sz w:val="26"/>
          <w:szCs w:val="26"/>
          <w:lang w:val="vi-VN"/>
        </w:rPr>
        <w:t>hông báo tiếp nhận hồ sơ miễn, giảm thuế điện tử</w:t>
      </w:r>
      <w:r w:rsidRPr="00D0046E">
        <w:rPr>
          <w:color w:val="000000"/>
          <w:sz w:val="26"/>
          <w:szCs w:val="26"/>
          <w:lang w:val="vi-VN"/>
        </w:rPr>
        <w:t>:</w:t>
      </w:r>
      <w:r w:rsidRPr="00D0046E">
        <w:rPr>
          <w:color w:val="000000"/>
          <w:sz w:val="26"/>
          <w:szCs w:val="26"/>
        </w:rPr>
        <w:t xml:space="preserve"> </w:t>
      </w:r>
      <w:proofErr w:type="spellStart"/>
      <w:r w:rsidRPr="00D0046E">
        <w:rPr>
          <w:color w:val="000000"/>
          <w:sz w:val="26"/>
          <w:szCs w:val="26"/>
        </w:rPr>
        <w:t>Đối</w:t>
      </w:r>
      <w:proofErr w:type="spellEnd"/>
      <w:r w:rsidRPr="00D0046E">
        <w:rPr>
          <w:color w:val="000000"/>
          <w:sz w:val="26"/>
          <w:szCs w:val="26"/>
        </w:rPr>
        <w:t xml:space="preserve"> </w:t>
      </w:r>
      <w:proofErr w:type="spellStart"/>
      <w:r w:rsidRPr="00D0046E">
        <w:rPr>
          <w:color w:val="000000"/>
          <w:sz w:val="26"/>
          <w:szCs w:val="26"/>
        </w:rPr>
        <w:t>với</w:t>
      </w:r>
      <w:proofErr w:type="spellEnd"/>
      <w:r w:rsidRPr="00D0046E">
        <w:rPr>
          <w:color w:val="000000"/>
          <w:sz w:val="26"/>
          <w:szCs w:val="26"/>
        </w:rPr>
        <w:t xml:space="preserve"> </w:t>
      </w:r>
      <w:r w:rsidRPr="00D0046E">
        <w:rPr>
          <w:color w:val="000000"/>
          <w:sz w:val="26"/>
          <w:szCs w:val="26"/>
          <w:lang w:val="vi-VN"/>
        </w:rPr>
        <w:t>t</w:t>
      </w:r>
      <w:r w:rsidR="00D02065" w:rsidRPr="00D02065">
        <w:rPr>
          <w:color w:val="000000"/>
          <w:sz w:val="26"/>
          <w:szCs w:val="26"/>
          <w:lang w:val="vi-VN"/>
        </w:rPr>
        <w:t>rường hợp hồ sơ đề nghị miễn, giảm thuế là Văn bản/Đơn đề nghị miễn giảm và các tài liệ</w:t>
      </w:r>
      <w:r w:rsidRPr="00D0046E">
        <w:rPr>
          <w:color w:val="000000"/>
          <w:sz w:val="26"/>
          <w:szCs w:val="26"/>
          <w:lang w:val="vi-VN"/>
        </w:rPr>
        <w:t xml:space="preserve">u kèm theo thì </w:t>
      </w:r>
      <w:r w:rsidRPr="00D0046E">
        <w:rPr>
          <w:color w:val="000000"/>
          <w:sz w:val="26"/>
          <w:szCs w:val="26"/>
          <w:lang w:val="vi-VN"/>
        </w:rPr>
        <w:lastRenderedPageBreak/>
        <w:t>c</w:t>
      </w:r>
      <w:r w:rsidR="00D02065" w:rsidRPr="00D02065">
        <w:rPr>
          <w:color w:val="000000"/>
          <w:sz w:val="26"/>
          <w:szCs w:val="26"/>
          <w:lang w:val="vi-VN"/>
        </w:rPr>
        <w:t>hậm nhất 15 phút sau khi nhận được hồ sơ miễn, giảm thuế điện tử của người nộp thuế,</w:t>
      </w:r>
      <w:r w:rsidR="00D02065" w:rsidRPr="00D0046E">
        <w:rPr>
          <w:color w:val="000000"/>
          <w:sz w:val="26"/>
          <w:szCs w:val="26"/>
          <w:lang w:val="vi-VN"/>
        </w:rPr>
        <w:t> </w:t>
      </w:r>
      <w:proofErr w:type="spellStart"/>
      <w:r w:rsidR="00D02065" w:rsidRPr="00D02065">
        <w:rPr>
          <w:color w:val="000000"/>
          <w:sz w:val="26"/>
          <w:szCs w:val="26"/>
        </w:rPr>
        <w:t>Cổ</w:t>
      </w:r>
      <w:proofErr w:type="spellEnd"/>
      <w:r w:rsidR="00D02065" w:rsidRPr="00D02065">
        <w:rPr>
          <w:color w:val="000000"/>
          <w:sz w:val="26"/>
          <w:szCs w:val="26"/>
          <w:lang w:val="vi-VN"/>
        </w:rPr>
        <w:t>ng thông tin điện tử của Tổng cục Thuế gửi Thông báo về việc tiếp nhận hồ sơ miễn, giảm thuế điện tử (theo mẫu số 01-1/TB-TĐT ban hành kèm theo Thông tư này) cho người nộp thuế theo quy định tại khoản 2 Điều 5 Thông tư này.</w:t>
      </w:r>
      <w:r w:rsidRPr="00D0046E">
        <w:rPr>
          <w:color w:val="000000"/>
          <w:sz w:val="26"/>
          <w:szCs w:val="26"/>
        </w:rPr>
        <w:t xml:space="preserve"> </w:t>
      </w:r>
      <w:proofErr w:type="spellStart"/>
      <w:r w:rsidRPr="00D0046E">
        <w:rPr>
          <w:color w:val="000000"/>
          <w:sz w:val="26"/>
          <w:szCs w:val="26"/>
        </w:rPr>
        <w:t>Đối</w:t>
      </w:r>
      <w:proofErr w:type="spellEnd"/>
      <w:r w:rsidRPr="00D0046E">
        <w:rPr>
          <w:color w:val="000000"/>
          <w:sz w:val="26"/>
          <w:szCs w:val="26"/>
        </w:rPr>
        <w:t xml:space="preserve"> </w:t>
      </w:r>
      <w:proofErr w:type="spellStart"/>
      <w:r w:rsidRPr="00D0046E">
        <w:rPr>
          <w:color w:val="000000"/>
          <w:sz w:val="26"/>
          <w:szCs w:val="26"/>
        </w:rPr>
        <w:t>với</w:t>
      </w:r>
      <w:proofErr w:type="spellEnd"/>
      <w:r w:rsidRPr="00D0046E">
        <w:rPr>
          <w:color w:val="000000"/>
          <w:sz w:val="26"/>
          <w:szCs w:val="26"/>
        </w:rPr>
        <w:t xml:space="preserve"> </w:t>
      </w:r>
      <w:r w:rsidRPr="00D0046E">
        <w:rPr>
          <w:color w:val="000000"/>
          <w:sz w:val="26"/>
          <w:szCs w:val="26"/>
          <w:lang w:val="vi-VN"/>
        </w:rPr>
        <w:t>t</w:t>
      </w:r>
      <w:r w:rsidR="00D02065" w:rsidRPr="00D02065">
        <w:rPr>
          <w:color w:val="000000"/>
          <w:sz w:val="26"/>
          <w:szCs w:val="26"/>
          <w:lang w:val="vi-VN"/>
        </w:rPr>
        <w:t>rường hợp người nộp thuế đề nghị miễn, giảm thuế đồng thời là hồ sơ khai thuế</w:t>
      </w:r>
      <w:r w:rsidRPr="00D0046E">
        <w:rPr>
          <w:color w:val="000000"/>
          <w:sz w:val="26"/>
          <w:szCs w:val="26"/>
          <w:lang w:val="vi-VN"/>
        </w:rPr>
        <w:t xml:space="preserve"> thì c</w:t>
      </w:r>
      <w:r w:rsidR="00D02065" w:rsidRPr="00D02065">
        <w:rPr>
          <w:color w:val="000000"/>
          <w:sz w:val="26"/>
          <w:szCs w:val="26"/>
          <w:lang w:val="vi-VN"/>
        </w:rPr>
        <w:t>ổng thông tin điện tử của Tổng cục Thuế tiếp nhận hồ sơ khai thuế theo quy định tại Điều 16 Thông tư này. Ngay sau khi gửi Thông báo chấp nhận hồ sơ khai thuế điện tử, Cổng thông tin điện tử của Tổng cục Thuế gửi Thông báo tiếp nhận hồ sơ miễn, giảm thuế điện tử (theo mẫu số 01-1/TB-TĐT ban hành kèm theo Thông tư này) cho người nộp thuế bằng phương thức điện tử</w:t>
      </w:r>
      <w:r w:rsidR="00D02065" w:rsidRPr="009024FF">
        <w:rPr>
          <w:color w:val="000000"/>
          <w:sz w:val="26"/>
          <w:szCs w:val="26"/>
          <w:lang w:val="vi-VN"/>
        </w:rPr>
        <w:t>.</w:t>
      </w:r>
    </w:p>
    <w:p w14:paraId="2D341090" w14:textId="208A58A8" w:rsidR="00D02065" w:rsidRPr="009024FF" w:rsidRDefault="00F837E0" w:rsidP="005D7C41">
      <w:pPr>
        <w:spacing w:line="312" w:lineRule="auto"/>
        <w:ind w:firstLine="720"/>
        <w:jc w:val="both"/>
        <w:rPr>
          <w:color w:val="000000"/>
          <w:sz w:val="26"/>
          <w:szCs w:val="26"/>
          <w:lang w:val="vi-VN"/>
        </w:rPr>
      </w:pPr>
      <w:r w:rsidRPr="00D0046E">
        <w:rPr>
          <w:color w:val="000000"/>
          <w:sz w:val="26"/>
          <w:szCs w:val="26"/>
          <w:lang w:val="vi-VN"/>
        </w:rPr>
        <w:t>Thứ ba, x</w:t>
      </w:r>
      <w:r w:rsidR="00D02065" w:rsidRPr="00D02065">
        <w:rPr>
          <w:color w:val="000000"/>
          <w:sz w:val="26"/>
          <w:szCs w:val="26"/>
          <w:lang w:val="vi-VN"/>
        </w:rPr>
        <w:t>ử lý hồ sơ miễn giảm thuế</w:t>
      </w:r>
      <w:r w:rsidRPr="00D0046E">
        <w:rPr>
          <w:color w:val="000000"/>
          <w:sz w:val="26"/>
          <w:szCs w:val="26"/>
          <w:lang w:val="vi-VN"/>
        </w:rPr>
        <w:t>:</w:t>
      </w:r>
      <w:r w:rsidRPr="009024FF">
        <w:rPr>
          <w:color w:val="000000"/>
          <w:sz w:val="26"/>
          <w:szCs w:val="26"/>
          <w:lang w:val="vi-VN"/>
        </w:rPr>
        <w:t xml:space="preserve"> </w:t>
      </w:r>
      <w:r w:rsidR="00D02065" w:rsidRPr="00D02065">
        <w:rPr>
          <w:color w:val="000000"/>
          <w:sz w:val="26"/>
          <w:szCs w:val="26"/>
          <w:lang w:val="vi-VN"/>
        </w:rPr>
        <w:t>Thông báo chấp nhận hồ sơ miễn, giảm thuế</w:t>
      </w:r>
      <w:r w:rsidRPr="009024FF">
        <w:rPr>
          <w:color w:val="000000"/>
          <w:sz w:val="26"/>
          <w:szCs w:val="26"/>
          <w:lang w:val="vi-VN"/>
        </w:rPr>
        <w:t xml:space="preserve"> với thời </w:t>
      </w:r>
      <w:r w:rsidR="00D02065" w:rsidRPr="00D02065">
        <w:rPr>
          <w:color w:val="000000"/>
          <w:sz w:val="26"/>
          <w:szCs w:val="26"/>
          <w:lang w:val="vi-VN"/>
        </w:rPr>
        <w:t>hạn giải quyết hồ sơ miễn, giảm thuế điện tử được tính từ ngày ghi trên Thông báo chấp nhận hồ sơ miễn, giảm thuế điện tử</w:t>
      </w:r>
      <w:r w:rsidRPr="00D0046E">
        <w:rPr>
          <w:color w:val="000000"/>
          <w:sz w:val="26"/>
          <w:szCs w:val="26"/>
          <w:lang w:val="vi-VN"/>
        </w:rPr>
        <w:t>.</w:t>
      </w:r>
      <w:r w:rsidRPr="009024FF">
        <w:rPr>
          <w:color w:val="000000"/>
          <w:sz w:val="26"/>
          <w:szCs w:val="26"/>
          <w:lang w:val="vi-VN"/>
        </w:rPr>
        <w:t xml:space="preserve"> </w:t>
      </w:r>
      <w:r w:rsidR="00D02065" w:rsidRPr="00D02065">
        <w:rPr>
          <w:color w:val="000000"/>
          <w:sz w:val="26"/>
          <w:szCs w:val="26"/>
          <w:lang w:val="vi-VN"/>
        </w:rPr>
        <w:t>Cơ quan thuế có trách nhiệm giải quyết hồ sơ đề nghị miễn, giảm thuế của người nộp thuế đã tiếp nhận bằng phương thức điện tử theo quy định của Luật Quản lý thuế và các văn bản hư</w:t>
      </w:r>
      <w:r w:rsidR="00D02065" w:rsidRPr="009024FF">
        <w:rPr>
          <w:color w:val="000000"/>
          <w:sz w:val="26"/>
          <w:szCs w:val="26"/>
          <w:lang w:val="vi-VN"/>
        </w:rPr>
        <w:t>ớ</w:t>
      </w:r>
      <w:r w:rsidR="00D02065" w:rsidRPr="00D02065">
        <w:rPr>
          <w:color w:val="000000"/>
          <w:sz w:val="26"/>
          <w:szCs w:val="26"/>
          <w:lang w:val="vi-VN"/>
        </w:rPr>
        <w:t>ng dẫn thi hành Luật Quản lý thuế.</w:t>
      </w:r>
      <w:r w:rsidRPr="009024FF">
        <w:rPr>
          <w:color w:val="000000"/>
          <w:sz w:val="26"/>
          <w:szCs w:val="26"/>
          <w:lang w:val="vi-VN"/>
        </w:rPr>
        <w:t xml:space="preserve"> </w:t>
      </w:r>
      <w:r w:rsidR="00D02065" w:rsidRPr="00D02065">
        <w:rPr>
          <w:color w:val="000000"/>
          <w:sz w:val="26"/>
          <w:szCs w:val="26"/>
          <w:lang w:val="vi-VN"/>
        </w:rPr>
        <w:t>Trong quá trình giải quyết hồ sơ miễn, giảm thuế còn thiếu thông tin cần giải trình, bổ sung tài liệu thì cơ quan thuế gửi Thông báo giải trình, bổ sung thông tin, tài liệu (theo mẫu số 01/TB-BSTT-NNT ban hành kèm theo Nghị định số 126/2020/NĐ-CP) cho người nộp thuế theo quy định tại khoản 2 Điều 5 Thông tư này.</w:t>
      </w:r>
    </w:p>
    <w:p w14:paraId="69EDE5C2" w14:textId="5070A0B6" w:rsidR="00D02065" w:rsidRPr="00D0046E" w:rsidRDefault="00F837E0" w:rsidP="005D7C41">
      <w:pPr>
        <w:spacing w:line="312" w:lineRule="auto"/>
        <w:ind w:firstLine="720"/>
        <w:jc w:val="both"/>
        <w:rPr>
          <w:color w:val="000000"/>
          <w:sz w:val="26"/>
          <w:szCs w:val="26"/>
          <w:lang w:val="vi-VN"/>
        </w:rPr>
      </w:pPr>
      <w:r w:rsidRPr="00D0046E">
        <w:rPr>
          <w:color w:val="000000"/>
          <w:sz w:val="26"/>
          <w:szCs w:val="26"/>
          <w:lang w:val="vi-VN"/>
        </w:rPr>
        <w:t>Thứ tư, t</w:t>
      </w:r>
      <w:r w:rsidR="00D02065" w:rsidRPr="00D02065">
        <w:rPr>
          <w:color w:val="000000"/>
          <w:sz w:val="26"/>
          <w:szCs w:val="26"/>
          <w:lang w:val="vi-VN"/>
        </w:rPr>
        <w:t>rả kết quả giải quyết hồ sơ miễn, giảm thuế điện tử</w:t>
      </w:r>
      <w:r w:rsidRPr="009024FF">
        <w:rPr>
          <w:color w:val="000000"/>
          <w:sz w:val="26"/>
          <w:szCs w:val="26"/>
          <w:lang w:val="vi-VN"/>
        </w:rPr>
        <w:t xml:space="preserve">: </w:t>
      </w:r>
      <w:r w:rsidR="00D02065" w:rsidRPr="00D02065">
        <w:rPr>
          <w:color w:val="000000"/>
          <w:sz w:val="26"/>
          <w:szCs w:val="26"/>
          <w:lang w:val="vi-VN"/>
        </w:rPr>
        <w:t>Cơ quan thuế gửi kết quả giải quyết hồ sơ miễn, giảm thuế của người nộp thuế đã tiếp nhận bằng phương thức điện tử (là các thông báo, quyết định liên quan đến quá trình giải quyết miễn, giảm thuế, kết quả giải quyết miễn, giảm thuế của cơ quan thuế) cho người nộp thuế theo quy định tại khoản 2 Điều 5 Thông tư này.</w:t>
      </w:r>
    </w:p>
    <w:p w14:paraId="254366BB" w14:textId="2E8497EE" w:rsidR="00942D97" w:rsidRPr="00F43B1D" w:rsidRDefault="00942D97" w:rsidP="005D7C41">
      <w:pPr>
        <w:spacing w:line="312" w:lineRule="auto"/>
        <w:ind w:firstLine="720"/>
        <w:jc w:val="both"/>
        <w:rPr>
          <w:b/>
          <w:color w:val="000000"/>
          <w:sz w:val="26"/>
          <w:szCs w:val="26"/>
          <w:lang w:val="vi-VN"/>
        </w:rPr>
      </w:pPr>
      <w:r w:rsidRPr="00F43B1D">
        <w:rPr>
          <w:b/>
          <w:color w:val="000000"/>
          <w:sz w:val="26"/>
          <w:szCs w:val="26"/>
          <w:lang w:val="vi-VN"/>
        </w:rPr>
        <w:t>Kết luậ</w:t>
      </w:r>
      <w:r w:rsidR="005D7C41" w:rsidRPr="00F43B1D">
        <w:rPr>
          <w:b/>
          <w:color w:val="000000"/>
          <w:sz w:val="26"/>
          <w:szCs w:val="26"/>
          <w:lang w:val="vi-VN"/>
        </w:rPr>
        <w:t>n</w:t>
      </w:r>
    </w:p>
    <w:p w14:paraId="2966D119" w14:textId="090DD2F5" w:rsidR="00D0046E" w:rsidRPr="00D0046E" w:rsidRDefault="0093396B" w:rsidP="0093396B">
      <w:pPr>
        <w:spacing w:line="312" w:lineRule="auto"/>
        <w:ind w:firstLine="720"/>
        <w:jc w:val="both"/>
        <w:rPr>
          <w:color w:val="000000"/>
          <w:sz w:val="26"/>
          <w:szCs w:val="26"/>
          <w:lang w:val="vi-VN"/>
        </w:rPr>
      </w:pPr>
      <w:r>
        <w:rPr>
          <w:color w:val="000000"/>
          <w:sz w:val="26"/>
          <w:szCs w:val="26"/>
          <w:lang w:val="vi-VN"/>
        </w:rPr>
        <w:t xml:space="preserve">Như vậy, </w:t>
      </w:r>
      <w:r w:rsidRPr="0093396B">
        <w:rPr>
          <w:color w:val="000000"/>
          <w:sz w:val="26"/>
          <w:szCs w:val="26"/>
          <w:lang w:val="vi-VN"/>
        </w:rPr>
        <w:t>Thông tư 19/2021/TT-BTC</w:t>
      </w:r>
      <w:r>
        <w:rPr>
          <w:color w:val="000000"/>
          <w:sz w:val="26"/>
          <w:szCs w:val="26"/>
          <w:lang w:val="vi-VN"/>
        </w:rPr>
        <w:t xml:space="preserve"> ban hành</w:t>
      </w:r>
      <w:r w:rsidRPr="0093396B">
        <w:rPr>
          <w:color w:val="000000"/>
          <w:sz w:val="26"/>
          <w:szCs w:val="26"/>
          <w:lang w:val="vi-VN"/>
        </w:rPr>
        <w:t xml:space="preserve"> hướng dẫn giao dịch điện tử trong lĩnh vực thuế</w:t>
      </w:r>
      <w:r>
        <w:rPr>
          <w:color w:val="000000"/>
          <w:sz w:val="26"/>
          <w:szCs w:val="26"/>
          <w:lang w:val="vi-VN"/>
        </w:rPr>
        <w:t xml:space="preserve"> </w:t>
      </w:r>
      <w:r w:rsidRPr="0093396B">
        <w:rPr>
          <w:color w:val="000000"/>
          <w:sz w:val="26"/>
          <w:szCs w:val="26"/>
          <w:lang w:val="vi-VN"/>
        </w:rPr>
        <w:t>đã bám sát các nội dung quy định của Luật Quản lý thuế</w:t>
      </w:r>
      <w:r>
        <w:rPr>
          <w:color w:val="000000"/>
          <w:sz w:val="26"/>
          <w:szCs w:val="26"/>
          <w:lang w:val="vi-VN"/>
        </w:rPr>
        <w:t xml:space="preserve"> và</w:t>
      </w:r>
      <w:r w:rsidRPr="0093396B">
        <w:rPr>
          <w:color w:val="000000"/>
          <w:sz w:val="26"/>
          <w:szCs w:val="26"/>
          <w:lang w:val="vi-VN"/>
        </w:rPr>
        <w:t xml:space="preserve"> giải quyết những bất cập, tồn tại trong việc cung cấp các căn cứ pháp lý, thuật ngữ chuyên ngành để mở rộng giao dịch điện tử trong lĩnh vực thuế; đặc biệt là thúc đẩy cải cách hành chính, tạo thuận lợi cho người nộp thuế.</w:t>
      </w:r>
    </w:p>
    <w:p w14:paraId="11DB8B88" w14:textId="753E6621" w:rsidR="005D7C41" w:rsidRPr="00F43B1D" w:rsidRDefault="005D7C41" w:rsidP="005D7C41">
      <w:pPr>
        <w:spacing w:line="312" w:lineRule="auto"/>
        <w:ind w:firstLine="720"/>
        <w:jc w:val="both"/>
        <w:rPr>
          <w:b/>
          <w:color w:val="000000"/>
          <w:sz w:val="26"/>
          <w:szCs w:val="26"/>
          <w:lang w:val="vi-VN"/>
        </w:rPr>
      </w:pPr>
      <w:r w:rsidRPr="00F43B1D">
        <w:rPr>
          <w:b/>
          <w:color w:val="000000"/>
          <w:sz w:val="26"/>
          <w:szCs w:val="26"/>
          <w:lang w:val="vi-VN"/>
        </w:rPr>
        <w:t>Tài liệu tham khảo</w:t>
      </w:r>
    </w:p>
    <w:p w14:paraId="3409D5A8" w14:textId="2522E82B" w:rsidR="00182BCB" w:rsidRPr="009024FF" w:rsidRDefault="005D7C41" w:rsidP="009024FF">
      <w:pPr>
        <w:pStyle w:val="ListParagraph"/>
        <w:numPr>
          <w:ilvl w:val="0"/>
          <w:numId w:val="3"/>
        </w:numPr>
        <w:spacing w:line="312" w:lineRule="auto"/>
        <w:jc w:val="both"/>
        <w:outlineLvl w:val="1"/>
        <w:rPr>
          <w:rFonts w:eastAsia="Times New Roman"/>
          <w:iCs/>
          <w:color w:val="000000"/>
          <w:sz w:val="26"/>
          <w:szCs w:val="26"/>
        </w:rPr>
      </w:pPr>
      <w:bookmarkStart w:id="0" w:name="_GoBack"/>
      <w:bookmarkEnd w:id="0"/>
      <w:r w:rsidRPr="009024FF">
        <w:rPr>
          <w:rFonts w:eastAsia="Times New Roman"/>
          <w:color w:val="000000"/>
          <w:sz w:val="26"/>
          <w:szCs w:val="26"/>
          <w:shd w:val="clear" w:color="auto" w:fill="FFFFFF"/>
        </w:rPr>
        <w:t xml:space="preserve">Thông </w:t>
      </w:r>
      <w:proofErr w:type="spellStart"/>
      <w:r w:rsidRPr="009024FF">
        <w:rPr>
          <w:rFonts w:eastAsia="Times New Roman"/>
          <w:color w:val="000000"/>
          <w:sz w:val="26"/>
          <w:szCs w:val="26"/>
          <w:shd w:val="clear" w:color="auto" w:fill="FFFFFF"/>
        </w:rPr>
        <w:t>tư</w:t>
      </w:r>
      <w:proofErr w:type="spellEnd"/>
      <w:r w:rsidRPr="009024FF">
        <w:rPr>
          <w:rFonts w:eastAsia="Times New Roman"/>
          <w:color w:val="000000"/>
          <w:sz w:val="26"/>
          <w:szCs w:val="26"/>
          <w:shd w:val="clear" w:color="auto" w:fill="FFFFFF"/>
        </w:rPr>
        <w:t xml:space="preserve"> </w:t>
      </w:r>
      <w:proofErr w:type="spellStart"/>
      <w:r w:rsidRPr="009024FF">
        <w:rPr>
          <w:rFonts w:eastAsia="Times New Roman"/>
          <w:color w:val="000000"/>
          <w:sz w:val="26"/>
          <w:szCs w:val="26"/>
          <w:shd w:val="clear" w:color="auto" w:fill="FFFFFF"/>
        </w:rPr>
        <w:t>số</w:t>
      </w:r>
      <w:proofErr w:type="spellEnd"/>
      <w:r w:rsidRPr="009024FF">
        <w:rPr>
          <w:rFonts w:eastAsia="Times New Roman"/>
          <w:color w:val="000000"/>
          <w:sz w:val="26"/>
          <w:szCs w:val="26"/>
          <w:shd w:val="clear" w:color="auto" w:fill="FFFFFF"/>
        </w:rPr>
        <w:t xml:space="preserve"> 19/2021/TT-BTC</w:t>
      </w:r>
    </w:p>
    <w:p w14:paraId="7D6D674A" w14:textId="77777777" w:rsidR="00A83BC4" w:rsidRPr="00A83BC4" w:rsidRDefault="00A83BC4" w:rsidP="005D7C41">
      <w:pPr>
        <w:spacing w:line="312" w:lineRule="auto"/>
        <w:jc w:val="both"/>
        <w:rPr>
          <w:rFonts w:eastAsia="Times New Roman"/>
          <w:sz w:val="26"/>
          <w:szCs w:val="26"/>
        </w:rPr>
      </w:pPr>
    </w:p>
    <w:p w14:paraId="69208F1F" w14:textId="77777777" w:rsidR="008F3AF6" w:rsidRPr="00D0046E" w:rsidRDefault="00D52D9D" w:rsidP="005D7C41">
      <w:pPr>
        <w:spacing w:line="312" w:lineRule="auto"/>
        <w:jc w:val="both"/>
        <w:rPr>
          <w:sz w:val="26"/>
          <w:szCs w:val="26"/>
        </w:rPr>
      </w:pPr>
    </w:p>
    <w:sectPr w:rsidR="008F3AF6" w:rsidRPr="00D0046E" w:rsidSect="00A90E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BB065C"/>
    <w:multiLevelType w:val="hybridMultilevel"/>
    <w:tmpl w:val="4C56EE2C"/>
    <w:lvl w:ilvl="0" w:tplc="755A5C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73050CD"/>
    <w:multiLevelType w:val="hybridMultilevel"/>
    <w:tmpl w:val="DA30E746"/>
    <w:lvl w:ilvl="0" w:tplc="57EC5D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2CF2279"/>
    <w:multiLevelType w:val="hybridMultilevel"/>
    <w:tmpl w:val="C89CA39C"/>
    <w:lvl w:ilvl="0" w:tplc="2EF844DA">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F73"/>
    <w:rsid w:val="00173C2B"/>
    <w:rsid w:val="00182BCB"/>
    <w:rsid w:val="002822B4"/>
    <w:rsid w:val="0048455D"/>
    <w:rsid w:val="004C1F73"/>
    <w:rsid w:val="00513C44"/>
    <w:rsid w:val="00546A28"/>
    <w:rsid w:val="005D7C41"/>
    <w:rsid w:val="00676C0C"/>
    <w:rsid w:val="007B78F7"/>
    <w:rsid w:val="00901144"/>
    <w:rsid w:val="009024FF"/>
    <w:rsid w:val="0093396B"/>
    <w:rsid w:val="00942D97"/>
    <w:rsid w:val="0096494A"/>
    <w:rsid w:val="00A83BC4"/>
    <w:rsid w:val="00A90EBD"/>
    <w:rsid w:val="00B3021C"/>
    <w:rsid w:val="00C100D1"/>
    <w:rsid w:val="00C631C0"/>
    <w:rsid w:val="00CD0BFB"/>
    <w:rsid w:val="00CD3D29"/>
    <w:rsid w:val="00D0046E"/>
    <w:rsid w:val="00D02065"/>
    <w:rsid w:val="00D52D9D"/>
    <w:rsid w:val="00E414C6"/>
    <w:rsid w:val="00F43B1D"/>
    <w:rsid w:val="00F83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EFD0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96B"/>
    <w:rPr>
      <w:rFonts w:ascii="Times New Roman" w:hAnsi="Times New Roman" w:cs="Times New Roman"/>
    </w:rPr>
  </w:style>
  <w:style w:type="paragraph" w:styleId="Heading2">
    <w:name w:val="heading 2"/>
    <w:basedOn w:val="Normal"/>
    <w:link w:val="Heading2Char"/>
    <w:uiPriority w:val="9"/>
    <w:qFormat/>
    <w:rsid w:val="0090114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1F73"/>
    <w:pPr>
      <w:spacing w:before="100" w:beforeAutospacing="1" w:after="100" w:afterAutospacing="1"/>
    </w:pPr>
  </w:style>
  <w:style w:type="character" w:styleId="Emphasis">
    <w:name w:val="Emphasis"/>
    <w:basedOn w:val="DefaultParagraphFont"/>
    <w:uiPriority w:val="20"/>
    <w:qFormat/>
    <w:rsid w:val="004C1F73"/>
    <w:rPr>
      <w:i/>
      <w:iCs/>
    </w:rPr>
  </w:style>
  <w:style w:type="character" w:customStyle="1" w:styleId="apple-converted-space">
    <w:name w:val="apple-converted-space"/>
    <w:basedOn w:val="DefaultParagraphFont"/>
    <w:rsid w:val="004C1F73"/>
  </w:style>
  <w:style w:type="character" w:customStyle="1" w:styleId="Heading2Char">
    <w:name w:val="Heading 2 Char"/>
    <w:basedOn w:val="DefaultParagraphFont"/>
    <w:link w:val="Heading2"/>
    <w:uiPriority w:val="9"/>
    <w:rsid w:val="00901144"/>
    <w:rPr>
      <w:rFonts w:ascii="Times New Roman" w:hAnsi="Times New Roman" w:cs="Times New Roman"/>
      <w:b/>
      <w:bCs/>
      <w:sz w:val="36"/>
      <w:szCs w:val="36"/>
    </w:rPr>
  </w:style>
  <w:style w:type="paragraph" w:styleId="ListParagraph">
    <w:name w:val="List Paragraph"/>
    <w:basedOn w:val="Normal"/>
    <w:uiPriority w:val="34"/>
    <w:qFormat/>
    <w:rsid w:val="005D7C41"/>
    <w:pPr>
      <w:ind w:left="720"/>
      <w:contextualSpacing/>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592699">
      <w:bodyDiv w:val="1"/>
      <w:marLeft w:val="0"/>
      <w:marRight w:val="0"/>
      <w:marTop w:val="0"/>
      <w:marBottom w:val="0"/>
      <w:divBdr>
        <w:top w:val="none" w:sz="0" w:space="0" w:color="auto"/>
        <w:left w:val="none" w:sz="0" w:space="0" w:color="auto"/>
        <w:bottom w:val="none" w:sz="0" w:space="0" w:color="auto"/>
        <w:right w:val="none" w:sz="0" w:space="0" w:color="auto"/>
      </w:divBdr>
      <w:divsChild>
        <w:div w:id="1160004159">
          <w:marLeft w:val="0"/>
          <w:marRight w:val="0"/>
          <w:marTop w:val="0"/>
          <w:marBottom w:val="0"/>
          <w:divBdr>
            <w:top w:val="none" w:sz="0" w:space="0" w:color="auto"/>
            <w:left w:val="none" w:sz="0" w:space="0" w:color="auto"/>
            <w:bottom w:val="none" w:sz="0" w:space="0" w:color="auto"/>
            <w:right w:val="none" w:sz="0" w:space="0" w:color="auto"/>
          </w:divBdr>
        </w:div>
      </w:divsChild>
    </w:div>
    <w:div w:id="794906229">
      <w:bodyDiv w:val="1"/>
      <w:marLeft w:val="0"/>
      <w:marRight w:val="0"/>
      <w:marTop w:val="0"/>
      <w:marBottom w:val="0"/>
      <w:divBdr>
        <w:top w:val="none" w:sz="0" w:space="0" w:color="auto"/>
        <w:left w:val="none" w:sz="0" w:space="0" w:color="auto"/>
        <w:bottom w:val="none" w:sz="0" w:space="0" w:color="auto"/>
        <w:right w:val="none" w:sz="0" w:space="0" w:color="auto"/>
      </w:divBdr>
    </w:div>
    <w:div w:id="1248730738">
      <w:bodyDiv w:val="1"/>
      <w:marLeft w:val="0"/>
      <w:marRight w:val="0"/>
      <w:marTop w:val="0"/>
      <w:marBottom w:val="0"/>
      <w:divBdr>
        <w:top w:val="none" w:sz="0" w:space="0" w:color="auto"/>
        <w:left w:val="none" w:sz="0" w:space="0" w:color="auto"/>
        <w:bottom w:val="none" w:sz="0" w:space="0" w:color="auto"/>
        <w:right w:val="none" w:sz="0" w:space="0" w:color="auto"/>
      </w:divBdr>
    </w:div>
    <w:div w:id="1415206190">
      <w:bodyDiv w:val="1"/>
      <w:marLeft w:val="0"/>
      <w:marRight w:val="0"/>
      <w:marTop w:val="0"/>
      <w:marBottom w:val="0"/>
      <w:divBdr>
        <w:top w:val="none" w:sz="0" w:space="0" w:color="auto"/>
        <w:left w:val="none" w:sz="0" w:space="0" w:color="auto"/>
        <w:bottom w:val="none" w:sz="0" w:space="0" w:color="auto"/>
        <w:right w:val="none" w:sz="0" w:space="0" w:color="auto"/>
      </w:divBdr>
    </w:div>
    <w:div w:id="1493373518">
      <w:bodyDiv w:val="1"/>
      <w:marLeft w:val="0"/>
      <w:marRight w:val="0"/>
      <w:marTop w:val="0"/>
      <w:marBottom w:val="0"/>
      <w:divBdr>
        <w:top w:val="none" w:sz="0" w:space="0" w:color="auto"/>
        <w:left w:val="none" w:sz="0" w:space="0" w:color="auto"/>
        <w:bottom w:val="none" w:sz="0" w:space="0" w:color="auto"/>
        <w:right w:val="none" w:sz="0" w:space="0" w:color="auto"/>
      </w:divBdr>
    </w:div>
    <w:div w:id="1533762873">
      <w:bodyDiv w:val="1"/>
      <w:marLeft w:val="0"/>
      <w:marRight w:val="0"/>
      <w:marTop w:val="0"/>
      <w:marBottom w:val="0"/>
      <w:divBdr>
        <w:top w:val="none" w:sz="0" w:space="0" w:color="auto"/>
        <w:left w:val="none" w:sz="0" w:space="0" w:color="auto"/>
        <w:bottom w:val="none" w:sz="0" w:space="0" w:color="auto"/>
        <w:right w:val="none" w:sz="0" w:space="0" w:color="auto"/>
      </w:divBdr>
    </w:div>
    <w:div w:id="1677921936">
      <w:bodyDiv w:val="1"/>
      <w:marLeft w:val="0"/>
      <w:marRight w:val="0"/>
      <w:marTop w:val="0"/>
      <w:marBottom w:val="0"/>
      <w:divBdr>
        <w:top w:val="none" w:sz="0" w:space="0" w:color="auto"/>
        <w:left w:val="none" w:sz="0" w:space="0" w:color="auto"/>
        <w:bottom w:val="none" w:sz="0" w:space="0" w:color="auto"/>
        <w:right w:val="none" w:sz="0" w:space="0" w:color="auto"/>
      </w:divBdr>
    </w:div>
    <w:div w:id="20776225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Windows User</cp:lastModifiedBy>
  <cp:revision>2</cp:revision>
  <dcterms:created xsi:type="dcterms:W3CDTF">2021-04-17T00:53:00Z</dcterms:created>
  <dcterms:modified xsi:type="dcterms:W3CDTF">2021-04-17T00:53:00Z</dcterms:modified>
</cp:coreProperties>
</file>