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5B7" w:rsidRPr="004765B7" w:rsidRDefault="004765B7" w:rsidP="004765B7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14:ligatures w14:val="none"/>
        </w:rPr>
      </w:pPr>
      <w:r w:rsidRPr="004765B7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14:ligatures w14:val="none"/>
        </w:rPr>
        <w:t xml:space="preserve">03 </w:t>
      </w:r>
      <w:r w:rsidRPr="004765B7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14:ligatures w14:val="none"/>
        </w:rPr>
        <w:t>CHÍNH SÁCH THUẾ CÓ HIỆU LỰC NĂM</w:t>
      </w:r>
      <w:r w:rsidRPr="004765B7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14:ligatures w14:val="none"/>
        </w:rPr>
        <w:t xml:space="preserve"> 2023</w:t>
      </w:r>
    </w:p>
    <w:p w:rsidR="004765B7" w:rsidRDefault="004765B7" w:rsidP="004765B7">
      <w:pPr>
        <w:shd w:val="clear" w:color="auto" w:fill="FFFFFF"/>
        <w:spacing w:before="150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14:ligatures w14:val="none"/>
        </w:rPr>
        <w:t>Ths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14:ligatures w14:val="none"/>
        </w:rPr>
        <w:t>. Ngô Thị Kiều Trang</w:t>
      </w:r>
    </w:p>
    <w:p w:rsidR="004765B7" w:rsidRPr="004765B7" w:rsidRDefault="004765B7" w:rsidP="004765B7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14:ligatures w14:val="none"/>
        </w:rPr>
      </w:pPr>
    </w:p>
    <w:p w:rsidR="004765B7" w:rsidRPr="004765B7" w:rsidRDefault="004765B7" w:rsidP="004765B7">
      <w:pPr>
        <w:pStyle w:val="Heading2"/>
        <w:shd w:val="clear" w:color="auto" w:fill="FFFFFF"/>
        <w:spacing w:before="150" w:beforeAutospacing="0" w:after="150" w:afterAutospacing="0"/>
        <w:jc w:val="both"/>
        <w:rPr>
          <w:sz w:val="26"/>
          <w:szCs w:val="26"/>
        </w:rPr>
      </w:pPr>
      <w:proofErr w:type="spellStart"/>
      <w:r w:rsidRPr="004765B7">
        <w:rPr>
          <w:sz w:val="26"/>
          <w:szCs w:val="26"/>
        </w:rPr>
        <w:t>Không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còn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được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giảm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thuế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giá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trị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gia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tăng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xuống</w:t>
      </w:r>
      <w:proofErr w:type="spellEnd"/>
      <w:r w:rsidRPr="004765B7">
        <w:rPr>
          <w:sz w:val="26"/>
          <w:szCs w:val="26"/>
        </w:rPr>
        <w:t xml:space="preserve"> 8%, Thay </w:t>
      </w:r>
      <w:proofErr w:type="spellStart"/>
      <w:r w:rsidRPr="004765B7">
        <w:rPr>
          <w:sz w:val="26"/>
          <w:szCs w:val="26"/>
        </w:rPr>
        <w:t>đổi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hồ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sơ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miễn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thuế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đối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với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tài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proofErr w:type="gramStart"/>
      <w:r w:rsidRPr="004765B7">
        <w:rPr>
          <w:sz w:val="26"/>
          <w:szCs w:val="26"/>
        </w:rPr>
        <w:t>sản</w:t>
      </w:r>
      <w:proofErr w:type="spellEnd"/>
      <w:r w:rsidRPr="004765B7">
        <w:rPr>
          <w:sz w:val="26"/>
          <w:szCs w:val="26"/>
        </w:rPr>
        <w:t>,...</w:t>
      </w:r>
      <w:proofErr w:type="gram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là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những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chính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sách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mới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về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thuế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có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hiệu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lực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trong</w:t>
      </w:r>
      <w:proofErr w:type="spellEnd"/>
      <w:r w:rsidRPr="004765B7">
        <w:rPr>
          <w:sz w:val="26"/>
          <w:szCs w:val="26"/>
        </w:rPr>
        <w:t xml:space="preserve"> </w:t>
      </w:r>
      <w:proofErr w:type="spellStart"/>
      <w:r w:rsidRPr="004765B7">
        <w:rPr>
          <w:sz w:val="26"/>
          <w:szCs w:val="26"/>
        </w:rPr>
        <w:t>năm</w:t>
      </w:r>
      <w:proofErr w:type="spellEnd"/>
      <w:r w:rsidRPr="004765B7">
        <w:rPr>
          <w:sz w:val="26"/>
          <w:szCs w:val="26"/>
        </w:rPr>
        <w:t xml:space="preserve"> 2023.</w:t>
      </w:r>
    </w:p>
    <w:p w:rsidR="004765B7" w:rsidRPr="004765B7" w:rsidRDefault="004765B7" w:rsidP="004765B7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1.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Không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còn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được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giảm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giá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trị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gia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tăng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xuống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8%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theo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Nghị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quyết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43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và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Nghị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định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15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Đây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chính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sách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mới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lực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2023.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Trong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2022,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Chính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phủ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ban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begin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instrText xml:space="preserve"> HYPERLINK "https://thuvienphapluat.vn/van-ban/Thuong-mai/Nghi-dinh-15-2022-ND-CP-mien-giam-thue-theo-Nghi-quyet-43-2022-QH15-chinh-sach-tai-khoa-501143.aspx" \t "_blank" </w:instrText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separate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Nghị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định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15/2022/NĐ-CP</w:t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end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chính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sách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miễn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giảm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begin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instrText xml:space="preserve"> HYPERLINK "https://thuvienphapluat.vn/van-ban/Thuong-mai/Nghi-quyet-43-2022-QH15-chinh-sach-tai-khoa-tien-te-phuc-hoi-phat-trien-kinh-te-xa-hoi-500776.aspx" \t "_blank" </w:instrText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separate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Nghị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quyết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43/2022/QH15</w:t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end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Theo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đó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giảm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đối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nhóm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hóa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dịch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vụ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đang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áp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dụng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mức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suất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10%,</w:t>
      </w:r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 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trừ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 nhóm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hóa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dịch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vụ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Viễn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thông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hoạt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tài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chính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ngân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chứng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khoán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hiểm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bất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sản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loại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sản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phẩm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từ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loại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đúc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sẵn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sản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phẩm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khai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khoáng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(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không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kể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khai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thác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than), </w:t>
      </w:r>
      <w:proofErr w:type="gram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than</w:t>
      </w:r>
      <w:proofErr w:type="gram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cốc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dầu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mỏ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sản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phẩm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hóa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Chi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tiết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Phụ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lục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I ban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kèm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begin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instrText xml:space="preserve"> HYPERLINK "https://thuvienphapluat.vn/van-ban/Thuong-mai/Nghi-dinh-15-2022-ND-CP-mien-giam-thue-theo-Nghi-quyet-43-2022-QH15-chinh-sach-tai-khoa-501143.aspx" \t "_blank" </w:instrText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separate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Nghị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định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15/2022/NĐ-CP</w:t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end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Sản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phẩm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hóa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dịch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vụ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chịu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tiêu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thụ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đặc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biệt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Chi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tiết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Phụ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lục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II ban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kèm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begin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instrText xml:space="preserve"> HYPERLINK "https://thuvienphapluat.vn/van-ban/Thuong-mai/Nghi-dinh-15-2022-ND-CP-mien-giam-thue-theo-Nghi-quyet-43-2022-QH15-chinh-sach-tai-khoa-501143.aspx" \t "_blank" </w:instrText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separate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Nghị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định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15/2022/NĐ-CP</w:t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end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Công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nghệ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thông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tin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pháp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luật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nghệ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thông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tin. Chi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tiết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Phụ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lục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III ban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kèm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begin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instrText xml:space="preserve"> HYPERLINK "https://thuvienphapluat.vn/van-ban/Thuong-mai/Nghi-dinh-15-2022-ND-CP-mien-giam-thue-theo-Nghi-quyet-43-2022-QH15-chinh-sach-tai-khoa-501143.aspx" \t "_blank" </w:instrText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separate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Nghị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định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15/2022/NĐ-CP</w:t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end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giảm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từng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loại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hóa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dịch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vụ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khoản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1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Điều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này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áp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dụng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thống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nhất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khâu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khẩu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sản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xuất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thương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mại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Đối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mặt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than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khai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thác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bán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ra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(bao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gồm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cả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trường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hợp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than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khai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thác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đó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qua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sàng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tuyển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phân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loại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trình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khép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kín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mới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bán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ra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)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thuộc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đối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tượng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giảm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Mặt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than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thuộc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Phụ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lục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I ban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kèm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begin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instrText xml:space="preserve"> HYPERLINK "https://thuvienphapluat.vn/van-ban/Thuong-mai/Nghi-dinh-15-2022-ND-CP-mien-giam-thue-theo-Nghi-quyet-43-2022-QH15-chinh-sach-tai-khoa-501143.aspx" \t "_blank" </w:instrText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separate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Nghị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định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15/2022/NĐ-CP</w:t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end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khâu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khác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ngoài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khâu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khai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thác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bán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ra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không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giảm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Trường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hợp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hóa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dịch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vụ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nêu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Phụ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lục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I, II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III ban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kèm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begin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instrText xml:space="preserve"> HYPERLINK "https://thuvienphapluat.vn/van-ban/Thuong-mai/Nghi-dinh-15-2022-ND-CP-mien-giam-thue-theo-Nghi-quyet-43-2022-QH15-chinh-sach-tai-khoa-501143.aspx" \t "_blank" </w:instrText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separate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Nghị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định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15/2022/NĐ-CP</w:t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end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thuộc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đối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tượng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không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chịu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hoặc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đối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tượng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chịu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5%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begin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instrText xml:space="preserve"> HYPERLINK "https://thuvienphapluat.vn/van-ban/Thue-Phi-Le-Phi/Luat-thue-gia-tri-gia-tang-2008-13-2008-QH12-66934.aspx" \t "_blank" </w:instrText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separate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Luật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giá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trị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gia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tăng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end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thì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begin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instrText xml:space="preserve"> HYPERLINK "https://thuvienphapluat.vn/van-ban/Thue-Phi-Le-Phi/Luat-thue-gia-tri-gia-tang-2008-13-2008-QH12-66934.aspx" \t "_blank" </w:instrText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separate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Luật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giá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trị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gia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tăng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end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không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giảm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Về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mức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giảm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giá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trị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gia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tăng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: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sở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phương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pháp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khấu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trừ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áp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dụng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mức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suất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8%.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 xml:space="preserve">-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sở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(bao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gồm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cả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hộ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nhân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)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phương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pháp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tỷ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lệ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%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trên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giảm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20%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mức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tỷ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lệ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%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để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xuất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hóa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đơn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đối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hóa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dịch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vụ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giảm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Tuy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nhiên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giảm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xuống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8%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chỉ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áp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dụng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đến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hết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31/12/2022.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Như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vậy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từ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01/01/2023,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sẽ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không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còn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giảm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xuống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8%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quyết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43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15.</w:t>
      </w:r>
    </w:p>
    <w:p w:rsidR="004765B7" w:rsidRPr="004765B7" w:rsidRDefault="004765B7" w:rsidP="004765B7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2. Thay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đổi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hồ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sơ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miễn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đối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với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tài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sản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di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chuyển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khi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bỏ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sổ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hộ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khẩu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giấy</w:t>
      </w:r>
      <w:proofErr w:type="spellEnd"/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 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begin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instrText xml:space="preserve"> HYPERLINK "https://thuvienphapluat.vn/van-ban/Bo-may-hanh-chinh/Nghi-dinh-104-2022-ND-CP-sua-doi-Nghi-dinh-nop-xuat-trinh-so-ho-khau-thuc-hien-thu-tuc-hanh-chinh-544177.aspx" \t "_blank" </w:instrText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separate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Nghị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định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104/2022/NĐ-CP</w:t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end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bỏ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sổ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hộ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khẩu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giấy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hồ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miễn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đối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tài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sản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di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chuyển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bỏ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sổ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hộ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khẩu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giấy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từ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01/01/2023 bao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gồm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Hồ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hải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pháp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luật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hải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;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Giấy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phép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lao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hoặc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văn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tương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đương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do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thẩm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quyền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cấp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đối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người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ngoài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người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Việt Nam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cư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ở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ngoài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đến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tác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Việt Nam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từ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12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tháng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trở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lên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;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Văn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chứng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minh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chấm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dứt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hoạt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hoặc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chấm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dứt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thời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lao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ở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ngoài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đối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tổ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chức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dân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Việt Nam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hoạt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ở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ngoài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từ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12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tháng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trở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lên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kết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thúc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hoạt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trở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;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Hộ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chiếu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(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đóng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dấu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kiểm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chứng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cảnh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quản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lý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xuất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cảnh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cửa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khẩu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hoặc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đóng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dấu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kiểm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chứng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cảnh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quản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lý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xuất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cảnh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cửa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khẩu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trên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rời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đối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trường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hợp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hộ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chiếu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cấp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rời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)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hoặc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giấy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tờ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thay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hộ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chiếu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còn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(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đóng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dấu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kiểm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chứng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cảnh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quản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lý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xuất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cảnh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cửa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khẩu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)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đối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người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Việt Nam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cư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ở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ngoài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đã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đăng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ký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thường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trú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Việt Nam;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-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Bản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sao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của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một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trong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các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giấy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tờ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sau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: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Thẻ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Căn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cước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công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dân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, Chứng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minh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nhân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dân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Giấy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xác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nhận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thông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tin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về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cư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trú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Giấy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thông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báo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số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định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danh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cá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nhân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và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thông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tin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công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dân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trong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Cơ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sở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dữ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liệu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quốc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gia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về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dân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cư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;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nay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: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Sổ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hộ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khẩu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thường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trú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do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Công an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cấp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đó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ghi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rõ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chỉ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cư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trú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ở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ngoài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đối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người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Việt Nam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cư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ở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ngoài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đã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đăng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ký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thường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trú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Việt Nam: 01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chứng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hoặc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chứng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)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Quyết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Bộ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trưởng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Bộ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Tài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chính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miễn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đối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tài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sản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di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chuyển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vượt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mức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miễn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: 01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chính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:rsidR="004765B7" w:rsidRPr="004765B7" w:rsidRDefault="004765B7" w:rsidP="004765B7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3. Thay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đổi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lịch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nộp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thu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nhập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doanh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nghiệp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tạm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tính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năm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2023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hyperlink r:id="rId7" w:tgtFrame="_blank" w:history="1">
        <w:proofErr w:type="spellStart"/>
        <w:r w:rsidRPr="004765B7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14:ligatures w14:val="none"/>
          </w:rPr>
          <w:t>Nghị</w:t>
        </w:r>
        <w:proofErr w:type="spellEnd"/>
        <w:r w:rsidRPr="004765B7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14:ligatures w14:val="none"/>
          </w:rPr>
          <w:t xml:space="preserve"> </w:t>
        </w:r>
        <w:proofErr w:type="spellStart"/>
        <w:r w:rsidRPr="004765B7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14:ligatures w14:val="none"/>
          </w:rPr>
          <w:t>định</w:t>
        </w:r>
        <w:proofErr w:type="spellEnd"/>
        <w:r w:rsidRPr="004765B7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14:ligatures w14:val="none"/>
          </w:rPr>
          <w:t xml:space="preserve"> 91/2022/NĐ-CP</w:t>
        </w:r>
      </w:hyperlink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đã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bổ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sung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:rsidR="004765B7" w:rsidRPr="004765B7" w:rsidRDefault="004765B7" w:rsidP="004765B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lastRenderedPageBreak/>
        <w:t xml:space="preserve">Trường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hợp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ngày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cuối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cùng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của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thời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hạn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nộp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hồ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sơ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khai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thời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hạn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nộp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thời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hạn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cơ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quan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quản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lý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giải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quyết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hồ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sơ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thời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hạn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hiệu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lực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của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quyết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định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cưỡng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chế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trùng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với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ngày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nghỉ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theo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quy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định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thì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ngày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cuối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cùng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của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thời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hạn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được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tính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là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ngày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làm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việc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liền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kề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sau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ngày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nghỉ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đó</w:t>
      </w:r>
      <w:proofErr w:type="spellEnd"/>
      <w:r w:rsidRPr="004765B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.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Theo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đó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lịch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2023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như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(1)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Nộp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thu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nhập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doanh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nghiệp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tạm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tính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Quý I/2023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Theo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khoản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1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Điều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55 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begin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instrText xml:space="preserve"> HYPERLINK "https://thuvienphapluat.vn/van-ban/Thue-Phi-Le-Phi/Luat-quan-ly-thue-2019-387595.aspx?anchor=dieu_55" \t "_blank" </w:instrText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separate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Luật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Quản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lý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2019</w:t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end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quý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quý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đó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chậm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nhất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30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tháng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đầu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quý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2023,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lịch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nghỉ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lễ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Giỗ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Tổ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Hùng Vương,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Chiến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thắng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30/4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Quốc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lao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người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lao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sẽ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kéo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dài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từ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29/4/2023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đến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hết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03/5/2023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nên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thời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Quý I/2023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chậm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nhất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04/5/2023.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(2)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Nộp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thu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nhập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doanh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nghiệp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tạm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tính</w:t>
      </w:r>
      <w:proofErr w:type="spellEnd"/>
      <w:r w:rsidRPr="004765B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Quý II/2023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Theo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khoản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1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Điều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55 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begin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instrText xml:space="preserve"> HYPERLINK "https://thuvienphapluat.vn/van-ban/Thue-Phi-Le-Phi/Luat-quan-ly-thue-2019-387595.aspx?anchor=dieu_55" \t "_blank" </w:instrText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separate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Luật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Quản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lý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2019</w:t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end"/>
      </w: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quý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quý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đó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chậm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nhất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vào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30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tháng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đầu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quý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Do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30/7/2023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chủ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nhật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trùng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nghỉ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hàng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tuần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nên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thời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hạn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tạm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Quý II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4765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31/7/2023.</w:t>
      </w:r>
    </w:p>
    <w:p w:rsidR="004765B7" w:rsidRPr="004765B7" w:rsidRDefault="004765B7" w:rsidP="004765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4765B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TÀI LIỆU THAM KHẢO</w:t>
      </w:r>
    </w:p>
    <w:p w:rsidR="00135046" w:rsidRPr="004765B7" w:rsidRDefault="004765B7" w:rsidP="004765B7">
      <w:pPr>
        <w:jc w:val="both"/>
        <w:rPr>
          <w:rFonts w:ascii="Times New Roman" w:hAnsi="Times New Roman" w:cs="Times New Roman"/>
          <w:sz w:val="26"/>
          <w:szCs w:val="26"/>
        </w:rPr>
      </w:pPr>
      <w:r w:rsidRPr="004765B7">
        <w:rPr>
          <w:rFonts w:ascii="Times New Roman" w:hAnsi="Times New Roman" w:cs="Times New Roman"/>
          <w:sz w:val="26"/>
          <w:szCs w:val="26"/>
        </w:rPr>
        <w:t>https://thuvienphapluat.vn/chinh-sach-phap-luat-moi/vn/thoi-su-phap-luat/chinh-sach-moi/45104/chinh-sach-moi-ve-thue-co-hieu-luc-trong-nam-2023</w:t>
      </w:r>
    </w:p>
    <w:sectPr w:rsidR="00135046" w:rsidRPr="004765B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73C0" w:rsidRDefault="009B73C0" w:rsidP="004765B7">
      <w:pPr>
        <w:spacing w:after="0" w:line="240" w:lineRule="auto"/>
      </w:pPr>
      <w:r>
        <w:separator/>
      </w:r>
    </w:p>
  </w:endnote>
  <w:endnote w:type="continuationSeparator" w:id="0">
    <w:p w:rsidR="009B73C0" w:rsidRDefault="009B73C0" w:rsidP="0047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48436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65B7" w:rsidRDefault="004765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65B7" w:rsidRDefault="00476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73C0" w:rsidRDefault="009B73C0" w:rsidP="004765B7">
      <w:pPr>
        <w:spacing w:after="0" w:line="240" w:lineRule="auto"/>
      </w:pPr>
      <w:r>
        <w:separator/>
      </w:r>
    </w:p>
  </w:footnote>
  <w:footnote w:type="continuationSeparator" w:id="0">
    <w:p w:rsidR="009B73C0" w:rsidRDefault="009B73C0" w:rsidP="00476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02C5E"/>
    <w:multiLevelType w:val="multilevel"/>
    <w:tmpl w:val="930A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EF257C"/>
    <w:multiLevelType w:val="multilevel"/>
    <w:tmpl w:val="839C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88239">
    <w:abstractNumId w:val="0"/>
  </w:num>
  <w:num w:numId="2" w16cid:durableId="1662078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B7"/>
    <w:rsid w:val="00135046"/>
    <w:rsid w:val="004765B7"/>
    <w:rsid w:val="009B73C0"/>
    <w:rsid w:val="00D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16343"/>
  <w15:chartTrackingRefBased/>
  <w15:docId w15:val="{D21383D9-47E0-4188-A6CA-38F27F1A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65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4765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5B7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765B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4765B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765B7"/>
    <w:rPr>
      <w:color w:val="0000FF"/>
      <w:u w:val="single"/>
    </w:rPr>
  </w:style>
  <w:style w:type="paragraph" w:customStyle="1" w:styleId="toclevel-1">
    <w:name w:val="toclevel-1"/>
    <w:basedOn w:val="Normal"/>
    <w:rsid w:val="0047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octext">
    <w:name w:val="toctext"/>
    <w:basedOn w:val="DefaultParagraphFont"/>
    <w:rsid w:val="004765B7"/>
  </w:style>
  <w:style w:type="paragraph" w:styleId="NormalWeb">
    <w:name w:val="Normal (Web)"/>
    <w:basedOn w:val="Normal"/>
    <w:uiPriority w:val="99"/>
    <w:semiHidden/>
    <w:unhideWhenUsed/>
    <w:rsid w:val="0047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4765B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76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5B7"/>
  </w:style>
  <w:style w:type="paragraph" w:styleId="Footer">
    <w:name w:val="footer"/>
    <w:basedOn w:val="Normal"/>
    <w:link w:val="FooterChar"/>
    <w:uiPriority w:val="99"/>
    <w:unhideWhenUsed/>
    <w:rsid w:val="00476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5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753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11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49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0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26396">
                  <w:blockQuote w:val="1"/>
                  <w:marLeft w:val="450"/>
                  <w:marRight w:val="0"/>
                  <w:marTop w:val="0"/>
                  <w:marBottom w:val="300"/>
                  <w:divBdr>
                    <w:top w:val="single" w:sz="2" w:space="8" w:color="FF6600"/>
                    <w:left w:val="single" w:sz="36" w:space="8" w:color="FF6600"/>
                    <w:bottom w:val="single" w:sz="2" w:space="8" w:color="FF6600"/>
                    <w:right w:val="single" w:sz="2" w:space="6" w:color="FF66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huvienphapluat.vn/van-ban/Thue-Phi-Le-Phi/Nghi-dinh-91-2022-ND-CP-sua-doi-Nghi-dinh-126-2020-ND-CP-huong-dan-Luat-Quan-ly-thue-516302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1191</Words>
  <Characters>6794</Characters>
  <Application>Microsoft Office Word</Application>
  <DocSecurity>0</DocSecurity>
  <Lines>56</Lines>
  <Paragraphs>15</Paragraphs>
  <ScaleCrop>false</ScaleCrop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Kieu Trang</cp:lastModifiedBy>
  <cp:revision>1</cp:revision>
  <dcterms:created xsi:type="dcterms:W3CDTF">2023-05-15T13:31:00Z</dcterms:created>
  <dcterms:modified xsi:type="dcterms:W3CDTF">2023-05-15T13:38:00Z</dcterms:modified>
</cp:coreProperties>
</file>