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3B9F" w14:textId="2FB96D49" w:rsidR="00B166CC" w:rsidRPr="00256778" w:rsidRDefault="00B166CC" w:rsidP="0083291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Chuẩn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mực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kế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quốc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tế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  <w:r w:rsidR="004F0715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7E97551F" w14:textId="77777777" w:rsidR="00C30F2E" w:rsidRPr="00434724" w:rsidRDefault="00C30F2E" w:rsidP="00C30F2E">
      <w:pPr>
        <w:spacing w:after="120" w:line="360" w:lineRule="auto"/>
        <w:jc w:val="center"/>
        <w:rPr>
          <w:rStyle w:val="fontstyle01"/>
          <w:b w:val="0"/>
          <w:bCs w:val="0"/>
          <w:i w:val="0"/>
          <w:iCs w:val="0"/>
        </w:rPr>
      </w:pPr>
      <w:r w:rsidRPr="00434724">
        <w:rPr>
          <w:rStyle w:val="fontstyle01"/>
        </w:rPr>
        <w:t xml:space="preserve">Nguyễn Thị Khánh Vân – Khoa </w:t>
      </w:r>
      <w:proofErr w:type="spellStart"/>
      <w:r w:rsidRPr="00434724">
        <w:rPr>
          <w:rStyle w:val="fontstyle01"/>
        </w:rPr>
        <w:t>Kế</w:t>
      </w:r>
      <w:proofErr w:type="spellEnd"/>
      <w:r w:rsidRPr="00434724">
        <w:rPr>
          <w:rStyle w:val="fontstyle01"/>
        </w:rPr>
        <w:t xml:space="preserve"> </w:t>
      </w:r>
      <w:proofErr w:type="spellStart"/>
      <w:r>
        <w:rPr>
          <w:rStyle w:val="fontstyle01"/>
        </w:rPr>
        <w:t>t</w:t>
      </w:r>
      <w:r w:rsidRPr="00434724">
        <w:rPr>
          <w:rStyle w:val="fontstyle01"/>
        </w:rPr>
        <w:t>o</w:t>
      </w:r>
      <w:r>
        <w:rPr>
          <w:rStyle w:val="fontstyle01"/>
        </w:rPr>
        <w:t>á</w:t>
      </w:r>
      <w:r w:rsidRPr="00434724">
        <w:rPr>
          <w:rStyle w:val="fontstyle01"/>
        </w:rPr>
        <w:t>n</w:t>
      </w:r>
      <w:proofErr w:type="spellEnd"/>
      <w:r>
        <w:rPr>
          <w:rStyle w:val="fontstyle01"/>
        </w:rPr>
        <w:t xml:space="preserve"> - </w:t>
      </w:r>
      <w:proofErr w:type="spellStart"/>
      <w:r>
        <w:rPr>
          <w:rStyle w:val="fontstyle01"/>
        </w:rPr>
        <w:t>Đại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học</w:t>
      </w:r>
      <w:proofErr w:type="spellEnd"/>
      <w:r>
        <w:rPr>
          <w:rStyle w:val="fontstyle01"/>
        </w:rPr>
        <w:t xml:space="preserve"> Duy Tân</w:t>
      </w:r>
    </w:p>
    <w:p w14:paraId="27826480" w14:textId="7DC55FCC" w:rsidR="00B166CC" w:rsidRPr="00C30F2E" w:rsidRDefault="00C30F2E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</w:t>
      </w:r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ông </w:t>
      </w:r>
      <w:proofErr w:type="spellStart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cụ</w:t>
      </w:r>
      <w:proofErr w:type="spellEnd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phái</w:t>
      </w:r>
      <w:proofErr w:type="spellEnd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sinh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thuộc</w:t>
      </w:r>
      <w:proofErr w:type="spellEnd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công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cụ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nên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sẽ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tuân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những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nguyên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tắc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kế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toán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chung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công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cụ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. Do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đó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bài</w:t>
      </w:r>
      <w:proofErr w:type="spellEnd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viết</w:t>
      </w:r>
      <w:proofErr w:type="spellEnd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tập</w:t>
      </w:r>
      <w:proofErr w:type="spellEnd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4F0715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trung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trình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bày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trực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tiếp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vào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70522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vấn</w:t>
      </w:r>
      <w:proofErr w:type="spellEnd"/>
      <w:r w:rsidR="00F70522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70522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đề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kế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toán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công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cụ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phái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sinh</w:t>
      </w:r>
      <w:proofErr w:type="spellEnd"/>
      <w:r w:rsidR="00B166CC" w:rsidRPr="00C30F2E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1827B510" w14:textId="7A3DC2CA" w:rsidR="00B166CC" w:rsidRPr="00832918" w:rsidRDefault="00B166CC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Các </w:t>
      </w:r>
      <w:proofErr w:type="spellStart"/>
      <w:r w:rsidR="00F70522" w:rsidRPr="00832918">
        <w:rPr>
          <w:rFonts w:ascii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mực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02F1986" w14:textId="2E66BBC4" w:rsidR="00B166CC" w:rsidRPr="00832918" w:rsidRDefault="00B166CC" w:rsidP="008329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- IAS 32: Công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</w:p>
    <w:p w14:paraId="65D8D0AB" w14:textId="363E15C3" w:rsidR="00B166CC" w:rsidRPr="00832918" w:rsidRDefault="00B166CC" w:rsidP="008329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- IAS 39: Công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</w:p>
    <w:p w14:paraId="687F61EE" w14:textId="06D59F3A" w:rsidR="00B166CC" w:rsidRPr="00832918" w:rsidRDefault="00B166CC" w:rsidP="008329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- IFRS 7: Công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(Công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bố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2A6579CB" w14:textId="4C4A2F30" w:rsidR="00B166CC" w:rsidRPr="00832918" w:rsidRDefault="00B166CC" w:rsidP="008329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- IFRS 9: Công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(Hiệu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01/01/2018 - Thay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IAS 39).</w:t>
      </w:r>
    </w:p>
    <w:p w14:paraId="42E5BB66" w14:textId="0EA978AE" w:rsidR="00B166CC" w:rsidRPr="00832918" w:rsidRDefault="00B166CC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thứ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(ii)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dừng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(iii)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(iv)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(v)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64D0219" w14:textId="773E83EF" w:rsidR="00B166CC" w:rsidRPr="00832918" w:rsidRDefault="00256778" w:rsidP="0083291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</w:t>
      </w:r>
      <w:r w:rsidR="009461E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Phân</w:t>
      </w:r>
      <w:proofErr w:type="spellEnd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loại</w:t>
      </w:r>
      <w:proofErr w:type="spellEnd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727E677C" w14:textId="47663C87" w:rsidR="00B166CC" w:rsidRPr="00832918" w:rsidRDefault="00B166CC" w:rsidP="008329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Theo IAS 39/IFRS 9,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64FA213" w14:textId="0AB56CB2" w:rsidR="00B166CC" w:rsidRPr="00832918" w:rsidRDefault="00B166CC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▪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BBE0DF5" w14:textId="6D17A7E7" w:rsidR="00B166CC" w:rsidRPr="00832918" w:rsidRDefault="00B166CC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▪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tệ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tệ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,…</w:t>
      </w:r>
    </w:p>
    <w:p w14:paraId="4304DADE" w14:textId="3F912E72" w:rsidR="004F0715" w:rsidRPr="00832918" w:rsidRDefault="00B166CC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▪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(embedded derivatives)</w:t>
      </w:r>
    </w:p>
    <w:p w14:paraId="7E975CFE" w14:textId="22649F73" w:rsidR="00FE59A1" w:rsidRDefault="00B166CC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▪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tạp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tảng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(4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F70522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nền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tảng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,…)</w:t>
      </w:r>
    </w:p>
    <w:p w14:paraId="2350BBB2" w14:textId="77777777" w:rsidR="004F0715" w:rsidRPr="00256778" w:rsidRDefault="00B166CC" w:rsidP="00256778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lastRenderedPageBreak/>
        <w:t>Phân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nắm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3E4A81" w14:textId="6FFEA3AE" w:rsidR="004F0715" w:rsidRPr="00832918" w:rsidRDefault="00B166CC" w:rsidP="002567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Phân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loại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công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cụ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phái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sinh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là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sản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="0025677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832918">
        <w:rPr>
          <w:rFonts w:ascii="Times New Roman" w:hAnsi="Times New Roman" w:cs="Times New Roman"/>
          <w:color w:val="000000"/>
          <w:sz w:val="26"/>
          <w:szCs w:val="26"/>
        </w:rPr>
        <w:t>Theo IFRS</w:t>
      </w:r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9.4.1.1,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Mô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(ii)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trưng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luồng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634057B" w14:textId="46E50A32" w:rsidR="00F70522" w:rsidRPr="00832918" w:rsidRDefault="00256778" w:rsidP="0025677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với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sản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phái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sinh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đo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lường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nguyên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giá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phân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bổ</w:t>
      </w:r>
      <w:proofErr w:type="spellEnd"/>
      <w:r w:rsidR="00B166CC"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(</w:t>
      </w:r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IFRS</w:t>
      </w:r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9.4.1.2)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đáp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đủ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18C2FD5E" w14:textId="6B3F8E54" w:rsidR="00F70522" w:rsidRPr="00832918" w:rsidRDefault="000B3FE5" w:rsidP="008329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ắm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giữ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nhằm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đích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luồng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B166CC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7DDFD19" w14:textId="707A931A" w:rsidR="004F0715" w:rsidRPr="00832918" w:rsidRDefault="00B166CC" w:rsidP="008329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gốc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gốc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9C58990" w14:textId="1F2AC48D" w:rsidR="004F0715" w:rsidRPr="00256778" w:rsidRDefault="00B166CC" w:rsidP="00256778">
      <w:pPr>
        <w:pStyle w:val="ListParagraph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với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sản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phái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sinh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đo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lường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giá</w:t>
      </w:r>
      <w:proofErr w:type="spellEnd"/>
      <w:r w:rsidR="00D157AA"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trị</w:t>
      </w:r>
      <w:proofErr w:type="spellEnd"/>
      <w:r w:rsidR="00D157AA"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="00D157AA"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lý</w:t>
      </w:r>
      <w:proofErr w:type="spellEnd"/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(</w:t>
      </w:r>
      <w:r w:rsidRPr="00256778">
        <w:rPr>
          <w:rFonts w:ascii="Times New Roman" w:hAnsi="Times New Roman" w:cs="Times New Roman"/>
          <w:color w:val="000000"/>
          <w:sz w:val="26"/>
          <w:szCs w:val="26"/>
        </w:rPr>
        <w:t>IFRS 9.4.1.2)</w:t>
      </w:r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(fair value through profit or loss – FVTPL).</w:t>
      </w:r>
    </w:p>
    <w:p w14:paraId="471E6AC7" w14:textId="4F17F9AC" w:rsidR="004F0715" w:rsidRPr="00256778" w:rsidRDefault="00B166CC" w:rsidP="0025677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Phân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loại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công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cụ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phái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sinh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là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nợ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phải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trả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phái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sinh</w:t>
      </w:r>
      <w:proofErr w:type="spellEnd"/>
      <w:r w:rsidRPr="0025677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14:paraId="2E68D5F0" w14:textId="3A571A35" w:rsidR="00B166CC" w:rsidRPr="00832918" w:rsidRDefault="00B166CC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946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buộc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4F0715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29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(</w:t>
      </w:r>
      <w:r w:rsidRPr="00832918">
        <w:rPr>
          <w:rFonts w:ascii="Times New Roman" w:hAnsi="Times New Roman" w:cs="Times New Roman"/>
          <w:color w:val="000000"/>
          <w:sz w:val="26"/>
          <w:szCs w:val="26"/>
        </w:rPr>
        <w:t>IFRS 9.4.2.1)</w:t>
      </w:r>
    </w:p>
    <w:p w14:paraId="16DEEB4A" w14:textId="63E32582" w:rsidR="004F0715" w:rsidRPr="00256778" w:rsidRDefault="00B166CC" w:rsidP="0025677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Công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56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(</w:t>
      </w:r>
      <w:r w:rsidRPr="00256778">
        <w:rPr>
          <w:rFonts w:ascii="Times New Roman" w:hAnsi="Times New Roman" w:cs="Times New Roman"/>
          <w:color w:val="000000"/>
          <w:sz w:val="26"/>
          <w:szCs w:val="26"/>
        </w:rPr>
        <w:t>IFRS 9.4.3)</w:t>
      </w:r>
    </w:p>
    <w:p w14:paraId="668957DE" w14:textId="2F7AE309" w:rsidR="004F0715" w:rsidRPr="00256778" w:rsidRDefault="00B166CC" w:rsidP="0025677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56778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ông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5677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25677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37EE16D" w14:textId="057E3004" w:rsidR="004F0715" w:rsidRPr="00256778" w:rsidRDefault="00256778" w:rsidP="0025677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ông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25677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0715" w:rsidRPr="0025677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B166CC" w:rsidRPr="0025677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CB0F98D" w14:textId="7391ABDC" w:rsidR="00654180" w:rsidRPr="00832918" w:rsidRDefault="009461E9" w:rsidP="0083291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nhận</w:t>
      </w:r>
      <w:proofErr w:type="spellEnd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dừng</w:t>
      </w:r>
      <w:proofErr w:type="spellEnd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nhận</w:t>
      </w:r>
      <w:proofErr w:type="spellEnd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28BC789D" w14:textId="2772FA7F" w:rsidR="00654180" w:rsidRPr="00832918" w:rsidRDefault="00654180" w:rsidP="0083291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lần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791CBF1F" w14:textId="08B4C626" w:rsidR="00654180" w:rsidRPr="00832918" w:rsidRDefault="009461E9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Doanh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BCTC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trở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9,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đoạn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3.1.1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3.1.2). Khi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lastRenderedPageBreak/>
        <w:t>định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lên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BCĐKT (IFRS 9, </w:t>
      </w:r>
      <w:proofErr w:type="spellStart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>đoạn</w:t>
      </w:r>
      <w:proofErr w:type="spellEnd"/>
      <w:r w:rsidR="00654180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5.1.1).</w:t>
      </w:r>
    </w:p>
    <w:p w14:paraId="3222EE2B" w14:textId="053D367A" w:rsidR="00654180" w:rsidRPr="00832918" w:rsidRDefault="00654180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BCTC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tuy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VN</w:t>
      </w:r>
    </w:p>
    <w:p w14:paraId="1ABA0A7F" w14:textId="2F60BFAB" w:rsidR="00654180" w:rsidRPr="00832918" w:rsidRDefault="00654180" w:rsidP="0083291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Sau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lần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7FB7376" w14:textId="48D4B449" w:rsidR="00654180" w:rsidRPr="00832918" w:rsidRDefault="00654180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Sau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946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9, B5.2.1, 5.2.2A, B5.4.14)</w:t>
      </w:r>
    </w:p>
    <w:p w14:paraId="086BC6D8" w14:textId="4EC73ECA" w:rsidR="00654180" w:rsidRPr="00832918" w:rsidRDefault="00654180" w:rsidP="0083291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Dừng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dừng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5C4E2D87" w14:textId="7E0DB7B0" w:rsidR="00654180" w:rsidRPr="00832918" w:rsidRDefault="00654180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Dừng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dừng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khỏi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BCTC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946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9, Appendix A </w:t>
      </w:r>
      <w:r w:rsidRPr="00832918">
        <w:rPr>
          <w:rFonts w:ascii="Times New Roman" w:hAnsi="Times New Roman" w:cs="Times New Roman"/>
          <w:color w:val="010202"/>
          <w:sz w:val="26"/>
          <w:szCs w:val="26"/>
        </w:rPr>
        <w:t xml:space="preserve">– </w:t>
      </w:r>
      <w:proofErr w:type="spellStart"/>
      <w:r w:rsidRPr="00832918">
        <w:rPr>
          <w:rFonts w:ascii="Times New Roman" w:hAnsi="Times New Roman" w:cs="Times New Roman"/>
          <w:color w:val="010202"/>
          <w:sz w:val="26"/>
          <w:szCs w:val="26"/>
        </w:rPr>
        <w:t>Phụ</w:t>
      </w:r>
      <w:proofErr w:type="spellEnd"/>
      <w:r w:rsidRPr="00832918">
        <w:rPr>
          <w:rFonts w:ascii="Times New Roman" w:hAnsi="Times New Roman" w:cs="Times New Roman"/>
          <w:color w:val="010202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10202"/>
          <w:sz w:val="26"/>
          <w:szCs w:val="26"/>
        </w:rPr>
        <w:t>lục</w:t>
      </w:r>
      <w:proofErr w:type="spellEnd"/>
      <w:r w:rsidRPr="00832918">
        <w:rPr>
          <w:rFonts w:ascii="Times New Roman" w:hAnsi="Times New Roman" w:cs="Times New Roman"/>
          <w:color w:val="010202"/>
          <w:sz w:val="26"/>
          <w:szCs w:val="26"/>
        </w:rPr>
        <w:t xml:space="preserve"> A</w:t>
      </w:r>
      <w:r w:rsidRPr="00832918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14:paraId="1A5B12A6" w14:textId="6F6F0934" w:rsidR="00654180" w:rsidRPr="00832918" w:rsidRDefault="00654180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Dừng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 Quyền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(ii)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946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dừng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9,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3.2.3, B3.2.4, B3.2.5, B3.2.6).</w:t>
      </w:r>
    </w:p>
    <w:p w14:paraId="515CA167" w14:textId="2C919D48" w:rsidR="00654180" w:rsidRPr="00832918" w:rsidRDefault="00654180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Dừng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khỏi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BCTC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hủy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(IFRS9,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3.3.1).</w:t>
      </w:r>
    </w:p>
    <w:p w14:paraId="48899D74" w14:textId="30B1B5A1" w:rsidR="006706E4" w:rsidRPr="00832918" w:rsidRDefault="006706E4" w:rsidP="0083291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lường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26EC8EC9" w14:textId="2AE21944" w:rsidR="006706E4" w:rsidRPr="00832918" w:rsidRDefault="006706E4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▪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lường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ban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Khi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9,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5.1.1).</w:t>
      </w:r>
    </w:p>
    <w:p w14:paraId="052B167E" w14:textId="05726698" w:rsidR="006706E4" w:rsidRPr="00832918" w:rsidRDefault="006706E4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▪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lường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sau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ban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xử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chênh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lệch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</w:p>
    <w:p w14:paraId="4308758B" w14:textId="1627A687" w:rsidR="006706E4" w:rsidRPr="00832918" w:rsidRDefault="006706E4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Sau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vẫn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946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9,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5.2.1, 5.3.1).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chênh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lệch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Báo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9,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5.2.1, 5.3.1),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D34FD2F" w14:textId="6C4637CA" w:rsidR="006706E4" w:rsidRPr="00832918" w:rsidRDefault="006706E4" w:rsidP="008329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lastRenderedPageBreak/>
        <w:t>Là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ngừa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7890B5D" w14:textId="34BBCFAD" w:rsidR="00A23A48" w:rsidRPr="00832918" w:rsidRDefault="006706E4" w:rsidP="008329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946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468A813" w14:textId="38B054B5" w:rsidR="00A23A48" w:rsidRPr="00832918" w:rsidRDefault="006706E4" w:rsidP="008329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946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3F368CC" w14:textId="4701B7CA" w:rsidR="00A23A48" w:rsidRPr="00832918" w:rsidRDefault="009461E9" w:rsidP="009461E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Trình</w:t>
      </w:r>
      <w:proofErr w:type="spellEnd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bày</w:t>
      </w:r>
      <w:proofErr w:type="spellEnd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thuyết</w:t>
      </w:r>
      <w:proofErr w:type="spellEnd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minh</w:t>
      </w:r>
      <w:proofErr w:type="spellEnd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  <w:r w:rsidR="00A23A48"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476961A4" w14:textId="6ECA42FF" w:rsidR="00A23A48" w:rsidRPr="00832918" w:rsidRDefault="006706E4" w:rsidP="009461E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6316566D" w14:textId="21A758A2" w:rsidR="00A23A48" w:rsidRPr="009461E9" w:rsidRDefault="006706E4" w:rsidP="009461E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Trình</w:t>
      </w:r>
      <w:proofErr w:type="spellEnd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bày</w:t>
      </w:r>
      <w:proofErr w:type="spellEnd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sản</w:t>
      </w:r>
      <w:proofErr w:type="spellEnd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phái</w:t>
      </w:r>
      <w:proofErr w:type="spellEnd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sinh</w:t>
      </w:r>
      <w:proofErr w:type="spellEnd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nợ</w:t>
      </w:r>
      <w:proofErr w:type="spellEnd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phải</w:t>
      </w:r>
      <w:proofErr w:type="spellEnd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trả</w:t>
      </w:r>
      <w:proofErr w:type="spellEnd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phái</w:t>
      </w:r>
      <w:proofErr w:type="spellEnd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sinh</w:t>
      </w:r>
      <w:proofErr w:type="spellEnd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công</w:t>
      </w:r>
      <w:proofErr w:type="spellEnd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cụ</w:t>
      </w:r>
      <w:proofErr w:type="spellEnd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vốn</w:t>
      </w:r>
      <w:proofErr w:type="spellEnd"/>
      <w:r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chủ</w:t>
      </w:r>
      <w:proofErr w:type="spellEnd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sở</w:t>
      </w:r>
      <w:proofErr w:type="spellEnd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157AA" w:rsidRPr="009461E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hữu</w:t>
      </w:r>
      <w:proofErr w:type="spellEnd"/>
    </w:p>
    <w:p w14:paraId="0111E1F4" w14:textId="59627B24" w:rsidR="00A23A48" w:rsidRPr="00832918" w:rsidRDefault="006706E4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Khi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hay</w:t>
      </w:r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cấu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ngay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hay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hay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phù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(IAS 32.15).</w:t>
      </w:r>
    </w:p>
    <w:p w14:paraId="1FA7450D" w14:textId="509BA5B8" w:rsidR="00A23A48" w:rsidRPr="00832918" w:rsidRDefault="006706E4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Khi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BCĐKT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tôn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tắc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(IAS 32.18).</w:t>
      </w:r>
    </w:p>
    <w:p w14:paraId="41CD3A9D" w14:textId="4BDC7C76" w:rsidR="00A23A48" w:rsidRPr="00450421" w:rsidRDefault="006706E4" w:rsidP="00450421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với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quyền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chọn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thanh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toán</w:t>
      </w:r>
      <w:proofErr w:type="spellEnd"/>
    </w:p>
    <w:p w14:paraId="6700D886" w14:textId="498D1598" w:rsidR="00A23A48" w:rsidRPr="00832918" w:rsidRDefault="006706E4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Khi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(IAS 32.26).</w:t>
      </w:r>
    </w:p>
    <w:p w14:paraId="0283D75C" w14:textId="57E24364" w:rsidR="00A23A48" w:rsidRPr="00450421" w:rsidRDefault="006706E4" w:rsidP="00450421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Trình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bày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công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cụ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phức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</w:p>
    <w:p w14:paraId="7C4AD2F8" w14:textId="3580BE57" w:rsidR="00A23A48" w:rsidRPr="00832918" w:rsidRDefault="006706E4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Doanh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tách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(ii)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nắm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. Hai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biệt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BCĐKT (IAS 32.29).</w:t>
      </w:r>
    </w:p>
    <w:p w14:paraId="48F44C9F" w14:textId="03E8ECAF" w:rsidR="00A23A48" w:rsidRPr="00832918" w:rsidRDefault="006706E4" w:rsidP="000F2E1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="000F2E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(-)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(IAS 32.31).</w:t>
      </w:r>
    </w:p>
    <w:p w14:paraId="709A722A" w14:textId="28436A5F" w:rsidR="00A23A48" w:rsidRPr="00832918" w:rsidRDefault="006706E4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lastRenderedPageBreak/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ban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luôn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1CEBEB5" w14:textId="2275B53D" w:rsidR="00A23A48" w:rsidRPr="00450421" w:rsidRDefault="006706E4" w:rsidP="00450421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Trình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bày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khoản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nhập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tiền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lãi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lợi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tức</w:t>
      </w:r>
      <w:proofErr w:type="spellEnd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hay </w:t>
      </w:r>
      <w:proofErr w:type="spellStart"/>
      <w:r w:rsidRPr="00450421">
        <w:rPr>
          <w:rFonts w:ascii="Times New Roman" w:hAnsi="Times New Roman" w:cs="Times New Roman"/>
          <w:i/>
          <w:iCs/>
          <w:color w:val="000000"/>
          <w:sz w:val="26"/>
          <w:szCs w:val="26"/>
        </w:rPr>
        <w:t>lỗ</w:t>
      </w:r>
      <w:proofErr w:type="spellEnd"/>
    </w:p>
    <w:p w14:paraId="4FE95F9A" w14:textId="573AE7F1" w:rsidR="00A23A48" w:rsidRPr="00832918" w:rsidRDefault="006706E4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chi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Báo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(IAS 32.35).</w:t>
      </w:r>
    </w:p>
    <w:p w14:paraId="45FBFB09" w14:textId="332F52AD" w:rsidR="00A23A48" w:rsidRPr="00832918" w:rsidRDefault="006706E4" w:rsidP="0045042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tin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24F2BA8A" w14:textId="79D07CF0" w:rsidR="00A23A48" w:rsidRDefault="006706E4" w:rsidP="008329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Doanh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BCTC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tầm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trạng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946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; (ii)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phạm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BCTC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946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ro.</w:t>
      </w:r>
    </w:p>
    <w:p w14:paraId="4E55F142" w14:textId="0E50793F" w:rsidR="00E827A9" w:rsidRPr="00E827A9" w:rsidRDefault="00E827A9" w:rsidP="00E827A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Tầm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quan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trọng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của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các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công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cụ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đối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với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tình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trạng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kết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quả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kinh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doanh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của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doanh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nghiệp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;</w:t>
      </w:r>
    </w:p>
    <w:p w14:paraId="5918F034" w14:textId="032A0697" w:rsidR="00A23A48" w:rsidRDefault="006706E4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BCTC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tầm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7.7)</w:t>
      </w:r>
    </w:p>
    <w:p w14:paraId="7E4B74D7" w14:textId="1E6C7F95" w:rsidR="00F307ED" w:rsidRPr="00742DA1" w:rsidRDefault="00F307ED" w:rsidP="00F307E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Thuyết</w:t>
      </w:r>
      <w:proofErr w:type="spellEnd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minh</w:t>
      </w:r>
      <w:proofErr w:type="spellEnd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trên</w:t>
      </w:r>
      <w:proofErr w:type="spellEnd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báo</w:t>
      </w:r>
      <w:proofErr w:type="spellEnd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cáo</w:t>
      </w:r>
      <w:proofErr w:type="spellEnd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tình</w:t>
      </w:r>
      <w:proofErr w:type="spellEnd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hình</w:t>
      </w:r>
      <w:proofErr w:type="spellEnd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42DA1">
        <w:rPr>
          <w:rFonts w:ascii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</w:p>
    <w:p w14:paraId="7490AF09" w14:textId="3067056E" w:rsidR="00A23A48" w:rsidRPr="00742DA1" w:rsidRDefault="00742DA1" w:rsidP="00F307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50421" w:rsidRPr="00742DA1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50421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50421" w:rsidRPr="00742DA1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450421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50421" w:rsidRPr="00742DA1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50421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50421" w:rsidRPr="00742DA1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742DA1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D157AA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742DA1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D157AA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742DA1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D157AA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742DA1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742DA1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706E4" w:rsidRPr="00742DA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2B7C0352" w14:textId="17C6750C" w:rsidR="00A23A48" w:rsidRPr="00832918" w:rsidRDefault="006706E4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bảng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7.8).</w:t>
      </w:r>
    </w:p>
    <w:p w14:paraId="36CED773" w14:textId="7B480D3F" w:rsidR="00A23A48" w:rsidRPr="00832918" w:rsidRDefault="006706E4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Các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biệt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ngay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ban</w:t>
      </w:r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(ii)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bắt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buộc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9).</w:t>
      </w:r>
    </w:p>
    <w:p w14:paraId="46F42B23" w14:textId="1631243F" w:rsidR="00A23A48" w:rsidRPr="00832918" w:rsidRDefault="006706E4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Các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biệt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 Các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ngay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(ii)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nắm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đích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9).</w:t>
      </w:r>
    </w:p>
    <w:p w14:paraId="5C2345D9" w14:textId="42D98B6D" w:rsidR="00452079" w:rsidRPr="00FF7B10" w:rsidRDefault="00FF7B10" w:rsidP="00F307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B1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452079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FF7B10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7D448F5C" w14:textId="6AA1CC30" w:rsidR="00A23A48" w:rsidRPr="00832918" w:rsidRDefault="006706E4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DF667C1" w14:textId="7AD5BE98" w:rsidR="00D157AA" w:rsidRPr="00832918" w:rsidRDefault="00FF7B10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nhóm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lũy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do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dẫn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tăng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suất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suất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tiêu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chuNn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hối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đoái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suất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7.9).</w:t>
      </w:r>
    </w:p>
    <w:p w14:paraId="066DC422" w14:textId="44DE9B17" w:rsidR="00A23A48" w:rsidRPr="00832918" w:rsidRDefault="00FF7B10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lũy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7.10A).</w:t>
      </w:r>
    </w:p>
    <w:p w14:paraId="5A73452F" w14:textId="699BB48F" w:rsidR="00A23A48" w:rsidRPr="00832918" w:rsidRDefault="00FF7B10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Mô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tả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tiết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yêu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cầu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bao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giải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thích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vì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sao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áp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phù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(IFRS 7.11).</w:t>
      </w:r>
    </w:p>
    <w:p w14:paraId="451EC3E1" w14:textId="156AD381" w:rsidR="000D0B46" w:rsidRPr="00FF7B10" w:rsidRDefault="00FF7B10" w:rsidP="00F307E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6706E4" w:rsidRPr="00FF7B1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706E4" w:rsidRPr="00FF7B10">
        <w:rPr>
          <w:rFonts w:ascii="Times New Roman" w:hAnsi="Times New Roman" w:cs="Times New Roman"/>
          <w:color w:val="000000"/>
          <w:sz w:val="26"/>
          <w:szCs w:val="26"/>
        </w:rPr>
        <w:t>(IFRS 7.12B)</w:t>
      </w:r>
      <w:r w:rsidR="006706E4" w:rsidRPr="00FF7B1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</w:p>
    <w:p w14:paraId="67870FEB" w14:textId="3872C277" w:rsidR="000D0B46" w:rsidRPr="00832918" w:rsidRDefault="006706E4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1175BCB" w14:textId="52E6CA87" w:rsidR="000D0B46" w:rsidRPr="00832918" w:rsidRDefault="00FF7B10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109B3C4" w14:textId="0EC6B62F" w:rsidR="000D0B46" w:rsidRPr="00832918" w:rsidRDefault="00FF7B10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Giải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thích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tiết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ảnh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mô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BCTC.</w:t>
      </w:r>
    </w:p>
    <w:p w14:paraId="6467F805" w14:textId="77BCA0B4" w:rsidR="000D0B46" w:rsidRPr="00832918" w:rsidRDefault="00FF7B10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mỗi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DCFF366" w14:textId="1AC5E471" w:rsidR="00452079" w:rsidRPr="006E08DB" w:rsidRDefault="006E08DB" w:rsidP="00F307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phức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chứa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đựng</w:t>
      </w:r>
      <w:proofErr w:type="spellEnd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6E08DB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="00452079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6E08DB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6E08DB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6E08DB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6E08DB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6E08DB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6E0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6E08DB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</w:p>
    <w:p w14:paraId="1273F5F6" w14:textId="5C93E4D5" w:rsidR="000D0B46" w:rsidRPr="00832918" w:rsidRDefault="006706E4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452079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phụ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lẫn</w:t>
      </w:r>
      <w:proofErr w:type="spellEnd"/>
      <w:r w:rsidR="00CB07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tồn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7.17).</w:t>
      </w:r>
    </w:p>
    <w:p w14:paraId="7F24253F" w14:textId="5FF794FD" w:rsidR="000D0B46" w:rsidRPr="009F3193" w:rsidRDefault="00BB0FB1" w:rsidP="00832918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Thuyết</w:t>
      </w:r>
      <w:proofErr w:type="spellEnd"/>
      <w:r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minh</w:t>
      </w:r>
      <w:proofErr w:type="spellEnd"/>
      <w:r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trên</w:t>
      </w:r>
      <w:proofErr w:type="spellEnd"/>
      <w:r w:rsidR="006706E4"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Báo </w:t>
      </w:r>
      <w:proofErr w:type="spellStart"/>
      <w:r w:rsidR="006706E4"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cáo</w:t>
      </w:r>
      <w:proofErr w:type="spellEnd"/>
      <w:r w:rsidR="006706E4"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kết</w:t>
      </w:r>
      <w:proofErr w:type="spellEnd"/>
      <w:r w:rsidR="006706E4"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quả</w:t>
      </w:r>
      <w:proofErr w:type="spellEnd"/>
      <w:r w:rsidR="006706E4"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kinh</w:t>
      </w:r>
      <w:proofErr w:type="spellEnd"/>
      <w:r w:rsidR="006706E4"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>doanh</w:t>
      </w:r>
      <w:proofErr w:type="spellEnd"/>
      <w:r w:rsidR="000D0B46" w:rsidRPr="009F319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</w:p>
    <w:p w14:paraId="321E7065" w14:textId="7F98F8B0" w:rsidR="000D0B46" w:rsidRPr="009F3193" w:rsidRDefault="009F3193" w:rsidP="000B3FE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, chi 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9F3193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</w:p>
    <w:p w14:paraId="6CC3D5B0" w14:textId="01AD2CBB" w:rsidR="000D0B46" w:rsidRPr="00832918" w:rsidRDefault="006706E4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Doanh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chi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hay</w:t>
      </w:r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Báo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BCTC (IFRS 7.20)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8A83FC4" w14:textId="6B3CBA36" w:rsidR="000D0B46" w:rsidRPr="00832918" w:rsidRDefault="009F3193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thuần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thuần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hay N PTTC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biệt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CB07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ban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bắt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buộc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phù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IFRS 9. Doanh</w:t>
      </w:r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tách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biệt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lỗ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299BEA8" w14:textId="2A726C47" w:rsidR="000D0B46" w:rsidRPr="00832918" w:rsidRDefault="009F3193" w:rsidP="009F3193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+</w:t>
      </w:r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Thu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lãi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bị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tổn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thất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6E4"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(3)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tổn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thất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mỗi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EA8C83A" w14:textId="504CF358" w:rsidR="000D0B46" w:rsidRPr="009F3193" w:rsidRDefault="009F3193" w:rsidP="008329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</w:p>
    <w:p w14:paraId="304C1E21" w14:textId="77777777" w:rsidR="000D0B46" w:rsidRPr="00832918" w:rsidRDefault="00A23A48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: Liên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yếu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BCTC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BCTC (IFRS 7.21).</w:t>
      </w:r>
    </w:p>
    <w:p w14:paraId="22DC2A25" w14:textId="3D84AFCB" w:rsidR="000D0B46" w:rsidRPr="00832918" w:rsidRDefault="00A23A48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ngừa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: Trường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946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ngừa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946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61E9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7.24):</w:t>
      </w:r>
    </w:p>
    <w:p w14:paraId="2F25D7C1" w14:textId="06606894" w:rsidR="000D0B46" w:rsidRPr="00832918" w:rsidRDefault="00A23A48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Mô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dạng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ngừa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ngừa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ngừa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CB07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ngừa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14:paraId="3D5E7B24" w14:textId="4DED9369" w:rsidR="000D0B46" w:rsidRPr="00832918" w:rsidRDefault="00A23A48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Mô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tả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ngừa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52079" w:rsidRPr="00832918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Pr="00832918">
        <w:rPr>
          <w:rFonts w:ascii="Times New Roman" w:hAnsi="Times New Roman" w:cs="Times New Roman"/>
          <w:color w:val="000000"/>
          <w:sz w:val="26"/>
          <w:szCs w:val="26"/>
        </w:rPr>
        <w:t>gày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F34E893" w14:textId="2E3CF498" w:rsidR="000D0B46" w:rsidRPr="00832918" w:rsidRDefault="00A23A48" w:rsidP="0083291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ngừa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87BEB7D" w14:textId="73802FB3" w:rsidR="00E827A9" w:rsidRPr="009F3193" w:rsidRDefault="009F3193" w:rsidP="006A120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3193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9F3193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D157AA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9F3193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D157AA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9F319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D157AA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9F3193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A23A48" w:rsidRPr="009F3193">
        <w:rPr>
          <w:rFonts w:ascii="Times New Roman" w:hAnsi="Times New Roman" w:cs="Times New Roman"/>
          <w:color w:val="000000"/>
          <w:sz w:val="26"/>
          <w:szCs w:val="26"/>
        </w:rPr>
        <w:t xml:space="preserve"> (IFRS 7.25): </w:t>
      </w:r>
    </w:p>
    <w:p w14:paraId="5F78BE68" w14:textId="18DBE032" w:rsidR="000D0B46" w:rsidRPr="00832918" w:rsidRDefault="00A23A48" w:rsidP="00E827A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Doanh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827A9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="00E827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827A9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E827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827A9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E827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827A9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E827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827A9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so</w:t>
      </w:r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sánh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F406C91" w14:textId="0B839955" w:rsidR="000D0B46" w:rsidRPr="00E827A9" w:rsidRDefault="00A23A48" w:rsidP="00E827A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Bản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chất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mức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độ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rủi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ro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phát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sinh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từ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công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cụ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tài</w:t>
      </w:r>
      <w:proofErr w:type="spellEnd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827A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chính</w:t>
      </w:r>
      <w:proofErr w:type="spellEnd"/>
    </w:p>
    <w:p w14:paraId="4A547C37" w14:textId="3F185922" w:rsidR="00E827A9" w:rsidRDefault="00A23A48" w:rsidP="00E827A9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Doanh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BCTC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phạm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="00CB07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7.31). Các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="000D0B46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7.32).</w:t>
      </w:r>
    </w:p>
    <w:p w14:paraId="0CC6F319" w14:textId="5619E046" w:rsidR="00F52C12" w:rsidRPr="00832918" w:rsidRDefault="00A23A48" w:rsidP="00832918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7.33):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F52C12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CB07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1805303A" w14:textId="1CDE78D7" w:rsidR="00F52C12" w:rsidRPr="00832918" w:rsidRDefault="00A23A48" w:rsidP="00832918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(a)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D5BA535" w14:textId="4A32E094" w:rsidR="00F52C12" w:rsidRPr="00832918" w:rsidRDefault="00A23A48" w:rsidP="00832918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(b) Các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="00F52C12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lường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7ADAC6A1" w14:textId="77777777" w:rsidR="000C266C" w:rsidRDefault="00A23A48" w:rsidP="00832918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(c)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(a)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(b) so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F52C12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7.34):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F52C12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61AD537" w14:textId="00440A2E" w:rsidR="00F52C12" w:rsidRPr="00832918" w:rsidRDefault="00A23A48" w:rsidP="00832918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(a)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Tóm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tắt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tổn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thất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cuối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dựa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F52C12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chốt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7.34a).</w:t>
      </w:r>
    </w:p>
    <w:p w14:paraId="1A656604" w14:textId="074BF0A8" w:rsidR="00F52C12" w:rsidRPr="00832918" w:rsidRDefault="00F52C12" w:rsidP="00832918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(b)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bị</w:t>
      </w:r>
      <w:proofErr w:type="spellEnd"/>
      <w:r w:rsidR="00CB07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suy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giảm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hỗ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trợ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="00CB07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A23A48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7.34b).</w:t>
      </w:r>
    </w:p>
    <w:p w14:paraId="7A0CDA06" w14:textId="726AD777" w:rsidR="00F52C12" w:rsidRPr="00832918" w:rsidRDefault="00A23A48" w:rsidP="00832918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(c)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F52C12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CB07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(a)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(b).</w:t>
      </w:r>
    </w:p>
    <w:p w14:paraId="248F7438" w14:textId="53201951" w:rsidR="00F52C12" w:rsidRPr="00832918" w:rsidRDefault="00A23A48" w:rsidP="0083291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cuối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="00F52C12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CB07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thêm</w:t>
      </w:r>
      <w:proofErr w:type="spellEnd"/>
      <w:r w:rsidR="00F52C12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CB07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(IFRS 7.35).</w:t>
      </w:r>
    </w:p>
    <w:p w14:paraId="0DAACB4E" w14:textId="47C8DC36" w:rsidR="006706E4" w:rsidRDefault="00A23A48" w:rsidP="000B3FE5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cụ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phái</w:t>
      </w:r>
      <w:proofErr w:type="spellEnd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57AA" w:rsidRPr="008329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CB07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nói</w:t>
      </w:r>
      <w:proofErr w:type="spellEnd"/>
      <w:r w:rsidR="00F52C12"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phức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tạp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khó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291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83291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0457BA68" w14:textId="3496D7A9" w:rsidR="00172C4A" w:rsidRDefault="00172C4A" w:rsidP="00172C4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9DC4ADC" w14:textId="194181C7" w:rsidR="00172C4A" w:rsidRPr="00CB070F" w:rsidRDefault="00172C4A" w:rsidP="00172C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B070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Tài </w:t>
      </w:r>
      <w:proofErr w:type="spellStart"/>
      <w:r w:rsidRPr="00CB070F">
        <w:rPr>
          <w:rFonts w:ascii="Times New Roman" w:hAnsi="Times New Roman" w:cs="Times New Roman"/>
          <w:b/>
          <w:bCs/>
          <w:color w:val="000000"/>
          <w:sz w:val="26"/>
          <w:szCs w:val="26"/>
        </w:rPr>
        <w:t>liệu</w:t>
      </w:r>
      <w:proofErr w:type="spellEnd"/>
      <w:r w:rsidRPr="00CB070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B070F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tham</w:t>
      </w:r>
      <w:proofErr w:type="spellEnd"/>
      <w:r w:rsidRPr="00CB070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B070F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khảo</w:t>
      </w:r>
      <w:proofErr w:type="spellEnd"/>
    </w:p>
    <w:p w14:paraId="35F5CEB6" w14:textId="44BE59BF" w:rsidR="00A425D1" w:rsidRDefault="00A425D1" w:rsidP="00A425D1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1</w:t>
      </w:r>
      <w:r w:rsidRPr="005C6D77">
        <w:rPr>
          <w:rFonts w:ascii="TimesNewRoman" w:hAnsi="TimesNewRoman"/>
          <w:color w:val="000000"/>
          <w:sz w:val="24"/>
          <w:szCs w:val="24"/>
        </w:rPr>
        <w:t>. International Accounting Standards 32: Financial Instruments – Presentation</w:t>
      </w:r>
    </w:p>
    <w:p w14:paraId="3207E6E6" w14:textId="0AE625FE" w:rsidR="00A425D1" w:rsidRDefault="00A425D1" w:rsidP="00A425D1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2</w:t>
      </w:r>
      <w:r w:rsidRPr="005C6D77">
        <w:rPr>
          <w:rFonts w:ascii="TimesNewRoman" w:hAnsi="TimesNewRoman"/>
          <w:color w:val="000000"/>
          <w:sz w:val="24"/>
          <w:szCs w:val="24"/>
        </w:rPr>
        <w:t>. International Accounting Standards 39: Financial Instruments - Recognition and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5C6D77">
        <w:rPr>
          <w:rFonts w:ascii="TimesNewRoman" w:hAnsi="TimesNewRoman"/>
          <w:color w:val="000000"/>
          <w:sz w:val="24"/>
          <w:szCs w:val="24"/>
        </w:rPr>
        <w:t>Measurement</w:t>
      </w:r>
    </w:p>
    <w:p w14:paraId="7431C3AB" w14:textId="1AEF0023" w:rsidR="00A425D1" w:rsidRDefault="00A425D1" w:rsidP="00A425D1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3</w:t>
      </w:r>
      <w:r w:rsidRPr="005C6D77">
        <w:rPr>
          <w:rFonts w:ascii="TimesNewRoman" w:hAnsi="TimesNewRoman"/>
          <w:color w:val="000000"/>
          <w:sz w:val="24"/>
          <w:szCs w:val="24"/>
        </w:rPr>
        <w:t>. International Financial Reporting Standard 13: Fair Value Measurement</w:t>
      </w:r>
    </w:p>
    <w:p w14:paraId="342C6737" w14:textId="35065E23" w:rsidR="00A425D1" w:rsidRDefault="00A425D1" w:rsidP="00A425D1">
      <w:pPr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4</w:t>
      </w:r>
      <w:r w:rsidRPr="005C6D77">
        <w:rPr>
          <w:rFonts w:ascii="TimesNewRoman" w:hAnsi="TimesNewRoman"/>
          <w:color w:val="000000"/>
          <w:sz w:val="24"/>
          <w:szCs w:val="24"/>
        </w:rPr>
        <w:t>. International Financial Reporting Standard 7: Financial Instruments – Disclosure</w:t>
      </w:r>
    </w:p>
    <w:p w14:paraId="268078A2" w14:textId="136EF004" w:rsidR="00A425D1" w:rsidRPr="000C3543" w:rsidRDefault="00A425D1" w:rsidP="00A425D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NewRoman" w:hAnsi="TimesNewRoman"/>
          <w:color w:val="000000"/>
          <w:sz w:val="24"/>
          <w:szCs w:val="24"/>
        </w:rPr>
        <w:t>5</w:t>
      </w:r>
      <w:r w:rsidRPr="005C6D77">
        <w:rPr>
          <w:rFonts w:ascii="TimesNewRoman" w:hAnsi="TimesNewRoman"/>
          <w:color w:val="000000"/>
          <w:sz w:val="24"/>
          <w:szCs w:val="24"/>
        </w:rPr>
        <w:t>. International Financial Reporting Standard 9: Financial Instruments</w:t>
      </w:r>
    </w:p>
    <w:p w14:paraId="44760064" w14:textId="77777777" w:rsidR="00172C4A" w:rsidRPr="00832918" w:rsidRDefault="00172C4A" w:rsidP="00A425D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72C4A" w:rsidRPr="00832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Italic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New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22E"/>
    <w:multiLevelType w:val="hybridMultilevel"/>
    <w:tmpl w:val="487A05A8"/>
    <w:lvl w:ilvl="0" w:tplc="5A52711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750DC"/>
    <w:multiLevelType w:val="hybridMultilevel"/>
    <w:tmpl w:val="89E2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4353"/>
    <w:multiLevelType w:val="hybridMultilevel"/>
    <w:tmpl w:val="F3CEC1B4"/>
    <w:lvl w:ilvl="0" w:tplc="CAEEB7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D4FE9"/>
    <w:multiLevelType w:val="hybridMultilevel"/>
    <w:tmpl w:val="090A37A6"/>
    <w:lvl w:ilvl="0" w:tplc="C9F67B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646CC"/>
    <w:multiLevelType w:val="hybridMultilevel"/>
    <w:tmpl w:val="84C03334"/>
    <w:lvl w:ilvl="0" w:tplc="975879F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yNDAxtLS0MDOyNDVT0lEKTi0uzszPAykwqgUAZ7qerywAAAA="/>
  </w:docVars>
  <w:rsids>
    <w:rsidRoot w:val="00B166CC"/>
    <w:rsid w:val="000B3FE5"/>
    <w:rsid w:val="000C266C"/>
    <w:rsid w:val="000D0B46"/>
    <w:rsid w:val="000F2E1C"/>
    <w:rsid w:val="00172C4A"/>
    <w:rsid w:val="001C183B"/>
    <w:rsid w:val="00256778"/>
    <w:rsid w:val="00450421"/>
    <w:rsid w:val="00452079"/>
    <w:rsid w:val="004F0715"/>
    <w:rsid w:val="00654180"/>
    <w:rsid w:val="006706E4"/>
    <w:rsid w:val="006A120E"/>
    <w:rsid w:val="006E08DB"/>
    <w:rsid w:val="00742DA1"/>
    <w:rsid w:val="00832918"/>
    <w:rsid w:val="009461E9"/>
    <w:rsid w:val="009F3193"/>
    <w:rsid w:val="00A23A48"/>
    <w:rsid w:val="00A425D1"/>
    <w:rsid w:val="00AC30D1"/>
    <w:rsid w:val="00B166CC"/>
    <w:rsid w:val="00BB0FB1"/>
    <w:rsid w:val="00C30F2E"/>
    <w:rsid w:val="00CB070F"/>
    <w:rsid w:val="00D157AA"/>
    <w:rsid w:val="00E827A9"/>
    <w:rsid w:val="00F307ED"/>
    <w:rsid w:val="00F52C12"/>
    <w:rsid w:val="00F70522"/>
    <w:rsid w:val="00FE59A1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9A39"/>
  <w15:chartTrackingRefBased/>
  <w15:docId w15:val="{589F3CF8-CB2A-46B6-AFE4-689140B9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166CC"/>
    <w:rPr>
      <w:rFonts w:ascii="BoldItalic" w:hAnsi="BoldItalic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166C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B166CC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B166CC"/>
    <w:rPr>
      <w:rFonts w:ascii="CourierNew" w:hAnsi="CourierNe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B166CC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05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1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2024-05-15T01:33:00Z</dcterms:created>
  <dcterms:modified xsi:type="dcterms:W3CDTF">2024-05-16T02:13:00Z</dcterms:modified>
</cp:coreProperties>
</file>