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9408" w14:textId="1A538FBA" w:rsidR="00592A76" w:rsidRDefault="00592A76" w:rsidP="00592A76">
      <w:pPr>
        <w:spacing w:after="300"/>
        <w:jc w:val="center"/>
        <w:outlineLvl w:val="0"/>
        <w:rPr>
          <w:rFonts w:ascii="Times New Roman" w:eastAsia="Times New Roman" w:hAnsi="Times New Roman" w:cs="Times New Roman"/>
          <w:b/>
          <w:bCs/>
          <w:color w:val="1B1D2D"/>
          <w:kern w:val="36"/>
          <w:sz w:val="28"/>
          <w:szCs w:val="28"/>
          <w14:ligatures w14:val="none"/>
        </w:rPr>
      </w:pPr>
      <w:r>
        <w:rPr>
          <w:rFonts w:ascii="Times New Roman" w:eastAsia="Times New Roman" w:hAnsi="Times New Roman" w:cs="Times New Roman"/>
          <w:b/>
          <w:bCs/>
          <w:color w:val="1B1D2D"/>
          <w:kern w:val="36"/>
          <w:sz w:val="28"/>
          <w:szCs w:val="28"/>
          <w:lang w:val="vi-VN"/>
          <w14:ligatures w14:val="none"/>
        </w:rPr>
        <w:t xml:space="preserve">Tóm lược một số nội dung chính của thông tư 14/2023/TT-BTC về chế độ </w:t>
      </w:r>
      <w:r w:rsidRPr="00592A76">
        <w:rPr>
          <w:rFonts w:ascii="Times New Roman" w:eastAsia="Times New Roman" w:hAnsi="Times New Roman" w:cs="Times New Roman"/>
          <w:b/>
          <w:bCs/>
          <w:color w:val="1B1D2D"/>
          <w:kern w:val="36"/>
          <w:sz w:val="28"/>
          <w:szCs w:val="28"/>
          <w:lang w:val="vi-VN"/>
          <w14:ligatures w14:val="none"/>
        </w:rPr>
        <w:t>K</w:t>
      </w:r>
      <w:r w:rsidRPr="00592A76">
        <w:rPr>
          <w:rFonts w:ascii="Times New Roman" w:eastAsia="Times New Roman" w:hAnsi="Times New Roman" w:cs="Times New Roman"/>
          <w:b/>
          <w:bCs/>
          <w:color w:val="1B1D2D"/>
          <w:kern w:val="36"/>
          <w:sz w:val="28"/>
          <w:szCs w:val="28"/>
          <w14:ligatures w14:val="none"/>
        </w:rPr>
        <w:t>ế toán áp dụng với Ngân hàng Phát triển Việt Nam</w:t>
      </w:r>
    </w:p>
    <w:p w14:paraId="2DDE52C3" w14:textId="77777777" w:rsidR="00E6560E" w:rsidRDefault="00E6560E" w:rsidP="00E6560E">
      <w:pPr>
        <w:spacing w:after="300"/>
        <w:jc w:val="center"/>
        <w:outlineLvl w:val="0"/>
        <w:rPr>
          <w:rFonts w:ascii="Times New Roman" w:eastAsia="Times New Roman" w:hAnsi="Times New Roman" w:cs="Times New Roman"/>
          <w:b/>
          <w:bCs/>
          <w:color w:val="1B1D2D"/>
          <w:kern w:val="36"/>
          <w:sz w:val="28"/>
          <w:szCs w:val="28"/>
          <w:lang w:val="vi-VN"/>
          <w14:ligatures w14:val="none"/>
        </w:rPr>
      </w:pPr>
      <w:r>
        <w:rPr>
          <w:rFonts w:ascii="Times New Roman" w:eastAsia="Times New Roman" w:hAnsi="Times New Roman" w:cs="Times New Roman"/>
          <w:b/>
          <w:bCs/>
          <w:color w:val="1B1D2D"/>
          <w:kern w:val="36"/>
          <w:sz w:val="28"/>
          <w:szCs w:val="28"/>
          <w:lang w:val="vi-VN"/>
          <w14:ligatures w14:val="none"/>
        </w:rPr>
        <w:t xml:space="preserve">                     </w:t>
      </w:r>
    </w:p>
    <w:p w14:paraId="3AD9F922" w14:textId="505C1BF9" w:rsidR="00E6560E" w:rsidRPr="00592A76" w:rsidRDefault="00E6560E" w:rsidP="00E6560E">
      <w:pPr>
        <w:spacing w:after="300"/>
        <w:jc w:val="center"/>
        <w:outlineLvl w:val="0"/>
        <w:rPr>
          <w:rFonts w:ascii="Times New Roman" w:eastAsia="Times New Roman" w:hAnsi="Times New Roman" w:cs="Times New Roman"/>
          <w:b/>
          <w:bCs/>
          <w:color w:val="1B1D2D"/>
          <w:kern w:val="36"/>
          <w:sz w:val="28"/>
          <w:szCs w:val="28"/>
          <w:lang w:val="vi-VN"/>
          <w14:ligatures w14:val="none"/>
        </w:rPr>
      </w:pPr>
      <w:r>
        <w:rPr>
          <w:rFonts w:ascii="Times New Roman" w:eastAsia="Times New Roman" w:hAnsi="Times New Roman" w:cs="Times New Roman"/>
          <w:b/>
          <w:bCs/>
          <w:color w:val="1B1D2D"/>
          <w:kern w:val="36"/>
          <w:sz w:val="28"/>
          <w:szCs w:val="28"/>
          <w:lang w:val="vi-VN"/>
          <w14:ligatures w14:val="none"/>
        </w:rPr>
        <w:t xml:space="preserve">                                                                        Giảng viên: Nguyễn Thị Tấm</w:t>
      </w:r>
    </w:p>
    <w:p w14:paraId="3F7A5DAD" w14:textId="77777777" w:rsidR="00592A76" w:rsidRDefault="00592A76" w:rsidP="00592A76">
      <w:pPr>
        <w:spacing w:after="660"/>
        <w:jc w:val="both"/>
        <w:outlineLvl w:val="1"/>
        <w:rPr>
          <w:rFonts w:ascii="Times New Roman" w:eastAsia="Times New Roman" w:hAnsi="Times New Roman" w:cs="Times New Roman"/>
          <w:color w:val="555555"/>
          <w:kern w:val="0"/>
          <w:sz w:val="26"/>
          <w:szCs w:val="26"/>
          <w:lang w:val="vi-VN"/>
          <w14:ligatures w14:val="none"/>
        </w:rPr>
      </w:pPr>
      <w:r w:rsidRPr="00592A76">
        <w:rPr>
          <w:rFonts w:ascii="Times New Roman" w:eastAsia="Times New Roman" w:hAnsi="Times New Roman" w:cs="Times New Roman"/>
          <w:color w:val="555555"/>
          <w:kern w:val="0"/>
          <w:sz w:val="26"/>
          <w:szCs w:val="26"/>
          <w:lang w:val="vi-VN"/>
          <w14:ligatures w14:val="none"/>
        </w:rPr>
        <w:t xml:space="preserve">   </w:t>
      </w:r>
      <w:r>
        <w:rPr>
          <w:rFonts w:ascii="Times New Roman" w:eastAsia="Times New Roman" w:hAnsi="Times New Roman" w:cs="Times New Roman"/>
          <w:color w:val="555555"/>
          <w:kern w:val="0"/>
          <w:sz w:val="26"/>
          <w:szCs w:val="26"/>
          <w:lang w:val="vi-VN"/>
          <w14:ligatures w14:val="none"/>
        </w:rPr>
        <w:t xml:space="preserve">- </w:t>
      </w:r>
      <w:r w:rsidRPr="00592A76">
        <w:rPr>
          <w:rFonts w:ascii="Times New Roman" w:eastAsia="Times New Roman" w:hAnsi="Times New Roman" w:cs="Times New Roman"/>
          <w:color w:val="555555"/>
          <w:kern w:val="0"/>
          <w:sz w:val="26"/>
          <w:szCs w:val="26"/>
          <w14:ligatures w14:val="none"/>
        </w:rPr>
        <w:t>Bộ Tài chính đã ban hành Thông tư số 14/2023/TT-BTC hướng dẫn kế toán áp dụng đối với Ngân hàng Phát triển Việt Nam, có hiệu lực kể từ ngày 01/07/2023.</w:t>
      </w:r>
      <w:r>
        <w:rPr>
          <w:rFonts w:ascii="Times New Roman" w:eastAsia="Times New Roman" w:hAnsi="Times New Roman" w:cs="Times New Roman"/>
          <w:color w:val="555555"/>
          <w:kern w:val="0"/>
          <w:sz w:val="26"/>
          <w:szCs w:val="26"/>
          <w:lang w:val="vi-VN"/>
          <w14:ligatures w14:val="none"/>
        </w:rPr>
        <w:t xml:space="preserve"> </w:t>
      </w:r>
      <w:r w:rsidRPr="00592A76">
        <w:rPr>
          <w:rFonts w:ascii="Times New Roman" w:eastAsia="Times New Roman" w:hAnsi="Times New Roman" w:cs="Times New Roman"/>
          <w:kern w:val="0"/>
          <w:sz w:val="26"/>
          <w:szCs w:val="26"/>
          <w14:ligatures w14:val="none"/>
        </w:rPr>
        <w:t>Ngân hàng Phát triển Việt Nam được chủ động xây dựng, thiết kế biểu mẫu chứng từ kế toán phù hợp</w:t>
      </w:r>
      <w:r>
        <w:rPr>
          <w:rFonts w:ascii="Times New Roman" w:eastAsia="Times New Roman" w:hAnsi="Times New Roman" w:cs="Times New Roman"/>
          <w:color w:val="555555"/>
          <w:kern w:val="0"/>
          <w:sz w:val="26"/>
          <w:szCs w:val="26"/>
          <w:lang w:val="vi-VN"/>
          <w14:ligatures w14:val="none"/>
        </w:rPr>
        <w:t>.</w:t>
      </w:r>
    </w:p>
    <w:p w14:paraId="0272B251" w14:textId="4A09A1E3" w:rsidR="00592A76" w:rsidRPr="00592A76" w:rsidRDefault="00592A76" w:rsidP="00592A76">
      <w:pPr>
        <w:spacing w:after="660"/>
        <w:jc w:val="both"/>
        <w:outlineLvl w:val="1"/>
        <w:rPr>
          <w:rFonts w:ascii="Times New Roman" w:eastAsia="Times New Roman" w:hAnsi="Times New Roman" w:cs="Times New Roman"/>
          <w:color w:val="555555"/>
          <w:kern w:val="0"/>
          <w:sz w:val="26"/>
          <w:szCs w:val="26"/>
          <w:lang w:val="vi-VN"/>
          <w14:ligatures w14:val="none"/>
        </w:rPr>
      </w:pPr>
      <w:r w:rsidRPr="00592A76">
        <w:rPr>
          <w:rFonts w:ascii="Times New Roman" w:eastAsia="Times New Roman" w:hAnsi="Times New Roman" w:cs="Times New Roman"/>
          <w:color w:val="333333"/>
          <w:kern w:val="0"/>
          <w:sz w:val="26"/>
          <w:szCs w:val="26"/>
          <w14:ligatures w14:val="none"/>
        </w:rPr>
        <w:t xml:space="preserve">Thông tư </w:t>
      </w:r>
      <w:r>
        <w:rPr>
          <w:rFonts w:ascii="Times New Roman" w:eastAsia="Times New Roman" w:hAnsi="Times New Roman" w:cs="Times New Roman"/>
          <w:color w:val="333333"/>
          <w:kern w:val="0"/>
          <w:sz w:val="26"/>
          <w:szCs w:val="26"/>
          <w14:ligatures w14:val="none"/>
        </w:rPr>
        <w:t>số</w:t>
      </w:r>
      <w:r>
        <w:rPr>
          <w:rFonts w:ascii="Times New Roman" w:eastAsia="Times New Roman" w:hAnsi="Times New Roman" w:cs="Times New Roman"/>
          <w:color w:val="333333"/>
          <w:kern w:val="0"/>
          <w:sz w:val="26"/>
          <w:szCs w:val="26"/>
          <w:lang w:val="vi-VN"/>
          <w14:ligatures w14:val="none"/>
        </w:rPr>
        <w:t xml:space="preserve"> 14/2023/TT-BTC </w:t>
      </w:r>
      <w:r w:rsidRPr="00592A76">
        <w:rPr>
          <w:rFonts w:ascii="Times New Roman" w:eastAsia="Times New Roman" w:hAnsi="Times New Roman" w:cs="Times New Roman"/>
          <w:color w:val="333333"/>
          <w:kern w:val="0"/>
          <w:sz w:val="26"/>
          <w:szCs w:val="26"/>
          <w14:ligatures w14:val="none"/>
        </w:rPr>
        <w:t>quy định một số nội dung đặc thù về tài khoản kế toán, nguyên tắc kế toán, kết cấu và nội dung phản ánh của tài khoản kế toán; việc lập, trình bày Báo cáo tài chính và Báo cáo tài chính hợp nhất; một số nội dung về chứng từ kế toán và sổ kế toán của Ngân hàng Phát triển Việt Nam (gọi là NHPT).</w:t>
      </w:r>
    </w:p>
    <w:p w14:paraId="4B995F69" w14:textId="77777777" w:rsidR="00592A76" w:rsidRDefault="00592A76" w:rsidP="00592A76">
      <w:pPr>
        <w:shd w:val="clear" w:color="auto" w:fill="FFFFFF"/>
        <w:jc w:val="both"/>
        <w:rPr>
          <w:rFonts w:ascii="Times New Roman" w:eastAsia="Times New Roman" w:hAnsi="Times New Roman" w:cs="Times New Roman"/>
          <w:b/>
          <w:bCs/>
          <w:color w:val="333333"/>
          <w:kern w:val="0"/>
          <w:sz w:val="26"/>
          <w:szCs w:val="26"/>
          <w14:ligatures w14:val="none"/>
        </w:rPr>
      </w:pPr>
      <w:r w:rsidRPr="00592A76">
        <w:rPr>
          <w:rFonts w:ascii="Times New Roman" w:eastAsia="Times New Roman" w:hAnsi="Times New Roman" w:cs="Times New Roman"/>
          <w:b/>
          <w:bCs/>
          <w:color w:val="333333"/>
          <w:kern w:val="0"/>
          <w:sz w:val="26"/>
          <w:szCs w:val="26"/>
          <w:lang w:val="vi-VN"/>
          <w14:ligatures w14:val="none"/>
        </w:rPr>
        <w:t xml:space="preserve">1. </w:t>
      </w:r>
      <w:r w:rsidRPr="00592A76">
        <w:rPr>
          <w:rFonts w:ascii="Times New Roman" w:eastAsia="Times New Roman" w:hAnsi="Times New Roman" w:cs="Times New Roman"/>
          <w:b/>
          <w:bCs/>
          <w:color w:val="333333"/>
          <w:kern w:val="0"/>
          <w:sz w:val="26"/>
          <w:szCs w:val="26"/>
          <w14:ligatures w14:val="none"/>
        </w:rPr>
        <w:t>Quy định về tài khoản kế toán</w:t>
      </w:r>
    </w:p>
    <w:p w14:paraId="052F6C86" w14:textId="6EE15FDB" w:rsidR="00592A76" w:rsidRPr="00592A76" w:rsidRDefault="00592A76" w:rsidP="00592A76">
      <w:pPr>
        <w:shd w:val="clear" w:color="auto" w:fill="FFFFFF"/>
        <w:jc w:val="both"/>
        <w:rPr>
          <w:rFonts w:ascii="Times New Roman" w:eastAsia="Times New Roman" w:hAnsi="Times New Roman" w:cs="Times New Roman"/>
          <w:color w:val="333333"/>
          <w:kern w:val="0"/>
          <w:sz w:val="26"/>
          <w:szCs w:val="26"/>
          <w14:ligatures w14:val="none"/>
        </w:rPr>
      </w:pPr>
      <w:r>
        <w:rPr>
          <w:rFonts w:ascii="Times New Roman" w:eastAsia="Times New Roman" w:hAnsi="Times New Roman" w:cs="Times New Roman"/>
          <w:color w:val="333333"/>
          <w:kern w:val="0"/>
          <w:sz w:val="26"/>
          <w:szCs w:val="26"/>
          <w:lang w:val="vi-VN"/>
          <w14:ligatures w14:val="none"/>
        </w:rPr>
        <w:t xml:space="preserve">  -</w:t>
      </w:r>
      <w:r w:rsidRPr="00592A76">
        <w:rPr>
          <w:rFonts w:ascii="Times New Roman" w:eastAsia="Times New Roman" w:hAnsi="Times New Roman" w:cs="Times New Roman"/>
          <w:color w:val="333333"/>
          <w:kern w:val="0"/>
          <w:sz w:val="26"/>
          <w:szCs w:val="26"/>
          <w14:ligatures w14:val="none"/>
        </w:rPr>
        <w:t xml:space="preserve"> Thông tư nêu rõ, danh mục hệ thống tài khoản kế toán và nội dung, kết cấu, phương pháp ghi chép một số tài khoản kế toán đặc thù của NHPT thực hiện theo hướng dẫn tại Phụ lục số 01 ban hành kèm theo Thông tư này.</w:t>
      </w:r>
    </w:p>
    <w:p w14:paraId="076312C6" w14:textId="77777777" w:rsidR="00592A76" w:rsidRPr="00592A76" w:rsidRDefault="00592A76" w:rsidP="00592A76">
      <w:pPr>
        <w:shd w:val="clear" w:color="auto" w:fill="FFFFFF"/>
        <w:spacing w:before="233" w:after="233"/>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NHPT được mở thêm các tài khoản từ cấp 2 trở đi đối với những tài khoản không có quy định tài khoản cấp 2, cấp 3 nhằm phục vụ yêu cầu quản lý.</w:t>
      </w:r>
    </w:p>
    <w:p w14:paraId="7ED3E1FA" w14:textId="1508B6B1" w:rsidR="00592A76" w:rsidRPr="00592A76" w:rsidRDefault="00592A76" w:rsidP="00592A76">
      <w:pPr>
        <w:shd w:val="clear" w:color="auto" w:fill="FFFFFF"/>
        <w:jc w:val="both"/>
        <w:outlineLvl w:val="2"/>
        <w:rPr>
          <w:rFonts w:ascii="Times New Roman" w:eastAsia="Times New Roman" w:hAnsi="Times New Roman" w:cs="Times New Roman"/>
          <w:b/>
          <w:bCs/>
          <w:color w:val="333333"/>
          <w:kern w:val="0"/>
          <w:sz w:val="26"/>
          <w:szCs w:val="26"/>
          <w14:ligatures w14:val="none"/>
        </w:rPr>
      </w:pPr>
      <w:r>
        <w:rPr>
          <w:rFonts w:ascii="Times New Roman" w:eastAsia="Times New Roman" w:hAnsi="Times New Roman" w:cs="Times New Roman"/>
          <w:b/>
          <w:bCs/>
          <w:color w:val="333333"/>
          <w:kern w:val="0"/>
          <w:sz w:val="26"/>
          <w:szCs w:val="26"/>
          <w:lang w:val="vi-VN"/>
          <w14:ligatures w14:val="none"/>
        </w:rPr>
        <w:t xml:space="preserve">2. </w:t>
      </w:r>
      <w:r w:rsidRPr="00592A76">
        <w:rPr>
          <w:rFonts w:ascii="Times New Roman" w:eastAsia="Times New Roman" w:hAnsi="Times New Roman" w:cs="Times New Roman"/>
          <w:b/>
          <w:bCs/>
          <w:color w:val="333333"/>
          <w:kern w:val="0"/>
          <w:sz w:val="26"/>
          <w:szCs w:val="26"/>
          <w14:ligatures w14:val="none"/>
        </w:rPr>
        <w:t>Báo cáo tài chính phải được giải trình để người đọc hiểu đúng tình hình tài chính của NHPT</w:t>
      </w:r>
    </w:p>
    <w:p w14:paraId="21911D46" w14:textId="77777777" w:rsidR="00592A76" w:rsidRPr="00592A76" w:rsidRDefault="00592A76" w:rsidP="00592A76">
      <w:pPr>
        <w:shd w:val="clear" w:color="auto" w:fill="FFFFFF"/>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Hệ thống báo cáo tài chính của NHPT gồm báo cáo tài chính năm và báo cáo tài chính giữa niên độ.</w:t>
      </w:r>
    </w:p>
    <w:p w14:paraId="571CD720" w14:textId="77777777" w:rsidR="00592A76" w:rsidRPr="00592A76" w:rsidRDefault="00592A76" w:rsidP="00592A76">
      <w:pPr>
        <w:shd w:val="clear" w:color="auto" w:fill="FFFFFF"/>
        <w:spacing w:before="233" w:after="233"/>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Báo cáo tài chính năm của NHPT, bao gồm: Báo cáo tình hình tài chính; Báo cáo kết quả hoạt động; Báo cáo lưu chuyển tiền tệ; Thuyết minh báo cáo tài chính.</w:t>
      </w:r>
    </w:p>
    <w:p w14:paraId="0875D885" w14:textId="77777777" w:rsidR="00592A76" w:rsidRPr="00592A76" w:rsidRDefault="00592A76" w:rsidP="00592A76">
      <w:pPr>
        <w:shd w:val="clear" w:color="auto" w:fill="FFFFFF"/>
        <w:spacing w:before="233" w:after="233"/>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Báo cáo tài chính giữa niên độ của NHPT (dạng đầy đủ), bao gồm: Báo cáo tình hình tài chính giữa niên độ; Báo cáo kết quả hoạt động giữa niên độ; Báo cáo lưu chuyển tiền tệ giữa niên độ; Thuyết minh báo cáo tài chính chọn lọc.</w:t>
      </w:r>
    </w:p>
    <w:p w14:paraId="2C001D64" w14:textId="77777777" w:rsidR="00592A76" w:rsidRPr="00592A76" w:rsidRDefault="00592A76" w:rsidP="00592A76">
      <w:pPr>
        <w:shd w:val="clear" w:color="auto" w:fill="FFFFFF"/>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Việc lập và trình bày báo cáo tài chính phải tuân thủ chuẩn mực kế toán, các thông tin trọng yếu phải được giải trình để giúp người đọc hiểu đúng thực trạng tình hình tài chính của NHPT.</w:t>
      </w:r>
    </w:p>
    <w:p w14:paraId="1B744C36" w14:textId="77777777" w:rsidR="00592A76" w:rsidRPr="00592A76" w:rsidRDefault="00592A76" w:rsidP="00592A76">
      <w:pPr>
        <w:shd w:val="clear" w:color="auto" w:fill="FFFFFF"/>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Báo cáo tài chính phải phản ánh đúng bản chất kinh tế của các giao dịch và sự kiện hơn là hình thức pháp lý của các giao dịch và sự kiện đó (tôn trọng bản chất hơn hình thức).</w:t>
      </w:r>
    </w:p>
    <w:p w14:paraId="579C8703" w14:textId="77777777" w:rsidR="00592A76" w:rsidRPr="00592A76" w:rsidRDefault="00592A76" w:rsidP="00592A76">
      <w:pPr>
        <w:shd w:val="clear" w:color="auto" w:fill="FFFFFF"/>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lastRenderedPageBreak/>
        <w:t>Nợ phải trả không được ghi nhận thấp hơn nghĩa vụ phải thanh toán.</w:t>
      </w:r>
      <w:r w:rsidRPr="00592A76">
        <w:rPr>
          <w:rFonts w:ascii="Times New Roman" w:eastAsia="Times New Roman" w:hAnsi="Times New Roman" w:cs="Times New Roman"/>
          <w:b/>
          <w:bCs/>
          <w:color w:val="333333"/>
          <w:kern w:val="0"/>
          <w:sz w:val="26"/>
          <w:szCs w:val="26"/>
          <w14:ligatures w14:val="none"/>
        </w:rPr>
        <w:t> </w:t>
      </w:r>
      <w:r w:rsidRPr="00592A76">
        <w:rPr>
          <w:rFonts w:ascii="Times New Roman" w:eastAsia="Times New Roman" w:hAnsi="Times New Roman" w:cs="Times New Roman"/>
          <w:color w:val="333333"/>
          <w:kern w:val="0"/>
          <w:sz w:val="26"/>
          <w:szCs w:val="26"/>
          <w14:ligatures w14:val="none"/>
        </w:rPr>
        <w:t>Các chỉ tiêu trên Báo cáo tình hình tài chính được sắp xếp theo tính thanh khoản giảm dần.</w:t>
      </w:r>
    </w:p>
    <w:p w14:paraId="2AF45E4D" w14:textId="77777777" w:rsidR="00592A76" w:rsidRPr="00592A76" w:rsidRDefault="00592A76" w:rsidP="00592A76">
      <w:pPr>
        <w:shd w:val="clear" w:color="auto" w:fill="FFFFFF"/>
        <w:spacing w:before="233" w:after="233"/>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Các chỉ tiêu trong Báo cáo kết quả hoạt động được sắp xếp theo từng hoạt động nghiệp vụ, phù hợp giữa thu nhập và chi phí.</w:t>
      </w:r>
    </w:p>
    <w:p w14:paraId="7BD26C23" w14:textId="213BF353" w:rsidR="00592A76" w:rsidRPr="00592A76" w:rsidRDefault="00592A76" w:rsidP="00592A76">
      <w:pPr>
        <w:shd w:val="clear" w:color="auto" w:fill="FFFFFF"/>
        <w:jc w:val="both"/>
        <w:outlineLvl w:val="1"/>
        <w:rPr>
          <w:rFonts w:ascii="Times New Roman" w:eastAsia="Times New Roman" w:hAnsi="Times New Roman" w:cs="Times New Roman"/>
          <w:b/>
          <w:bCs/>
          <w:color w:val="333333"/>
          <w:kern w:val="0"/>
          <w:sz w:val="26"/>
          <w:szCs w:val="26"/>
          <w14:ligatures w14:val="none"/>
        </w:rPr>
      </w:pPr>
      <w:r>
        <w:rPr>
          <w:rFonts w:ascii="Times New Roman" w:eastAsia="Times New Roman" w:hAnsi="Times New Roman" w:cs="Times New Roman"/>
          <w:b/>
          <w:bCs/>
          <w:color w:val="333333"/>
          <w:kern w:val="0"/>
          <w:sz w:val="26"/>
          <w:szCs w:val="26"/>
          <w:lang w:val="vi-VN"/>
          <w14:ligatures w14:val="none"/>
        </w:rPr>
        <w:t xml:space="preserve">3. </w:t>
      </w:r>
      <w:r w:rsidRPr="00592A76">
        <w:rPr>
          <w:rFonts w:ascii="Times New Roman" w:eastAsia="Times New Roman" w:hAnsi="Times New Roman" w:cs="Times New Roman"/>
          <w:b/>
          <w:bCs/>
          <w:color w:val="333333"/>
          <w:kern w:val="0"/>
          <w:sz w:val="26"/>
          <w:szCs w:val="26"/>
          <w14:ligatures w14:val="none"/>
        </w:rPr>
        <w:t>Ngân hàng Phát triển Việt Nam được chủ động xây dựng, thiết kế biểu mẫu chứng từ kế toán phù hợp</w:t>
      </w:r>
    </w:p>
    <w:p w14:paraId="528B7572" w14:textId="77777777" w:rsidR="00592A76" w:rsidRPr="00592A76" w:rsidRDefault="00592A76" w:rsidP="00592A76">
      <w:pPr>
        <w:shd w:val="clear" w:color="auto" w:fill="FFFFFF"/>
        <w:spacing w:before="233" w:after="233"/>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Thông tư nêu rõ, NHPT được chủ động xây dựng, thiết kế biểu mẫu chứng từ kế toán phù hợp với đặc điểm hoạt động và yêu cầu quản lý của NHPT nhưng phải đảm bảo đầy đủ nội dung chủ yếu của chứng từ kế toán quy định tại Luật kế toán và các văn bản hướng dẫn, sửa đổi, bổ sung, thay thế (nếu có), và đảm bảo cung cấp thông tin về giao dịch kinh tế một cách minh bạch, đầy đủ, dễ kiểm tra, dễ kiểm soát và dễ đối chiếu.</w:t>
      </w:r>
    </w:p>
    <w:p w14:paraId="4B2584A2" w14:textId="77777777" w:rsidR="00592A76" w:rsidRPr="00592A76" w:rsidRDefault="00592A76" w:rsidP="00592A76">
      <w:pPr>
        <w:shd w:val="clear" w:color="auto" w:fill="FFFFFF"/>
        <w:spacing w:before="233" w:after="233"/>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NHPT áp dụng biểu mẫu các loại biên lai thu tiền, biểu mẫu chứng từ kế toán thuộc nội dung thu nộp Ngân sách Nhà nước do Bộ Tài chính ban hành.</w:t>
      </w:r>
    </w:p>
    <w:p w14:paraId="795E1C1B" w14:textId="77777777" w:rsidR="00592A76" w:rsidRPr="00592A76" w:rsidRDefault="00592A76" w:rsidP="00592A76">
      <w:pPr>
        <w:shd w:val="clear" w:color="auto" w:fill="FFFFFF"/>
        <w:spacing w:before="233" w:after="233"/>
        <w:jc w:val="both"/>
        <w:rPr>
          <w:rFonts w:ascii="Times New Roman" w:eastAsia="Times New Roman" w:hAnsi="Times New Roman" w:cs="Times New Roman"/>
          <w:color w:val="333333"/>
          <w:kern w:val="0"/>
          <w:sz w:val="26"/>
          <w:szCs w:val="26"/>
          <w14:ligatures w14:val="none"/>
        </w:rPr>
      </w:pPr>
      <w:r w:rsidRPr="00592A76">
        <w:rPr>
          <w:rFonts w:ascii="Times New Roman" w:eastAsia="Times New Roman" w:hAnsi="Times New Roman" w:cs="Times New Roman"/>
          <w:color w:val="333333"/>
          <w:kern w:val="0"/>
          <w:sz w:val="26"/>
          <w:szCs w:val="26"/>
          <w14:ligatures w14:val="none"/>
        </w:rPr>
        <w:t>Thông tư này có hiệu lực kể từ ngày 01/07/2023. Khi lập và trình bày báo cáo tài chính năm 2023, NHPT phải trình bày lại thông tin so sánh cho phù hợp với các quy định tại Thông tư này và Thuyết minh lý do có sự thay đổi trong chế độ kế toán trên báo cáo tài chính theo hướng dẫn tại Chuẩn mực kế toán Việt Nam số 29 - Thay đổi chính sách kế toán, ước tính kế toán và các sai sót.</w:t>
      </w:r>
    </w:p>
    <w:p w14:paraId="2A692F2C" w14:textId="77777777" w:rsidR="00592A76" w:rsidRPr="00592A76" w:rsidRDefault="00592A76" w:rsidP="00592A76">
      <w:pPr>
        <w:jc w:val="both"/>
        <w:rPr>
          <w:rFonts w:ascii="Times New Roman" w:eastAsia="Times New Roman" w:hAnsi="Times New Roman" w:cs="Times New Roman"/>
          <w:kern w:val="0"/>
          <w:sz w:val="26"/>
          <w:szCs w:val="26"/>
          <w14:ligatures w14:val="none"/>
        </w:rPr>
      </w:pPr>
    </w:p>
    <w:p w14:paraId="30B6FF22" w14:textId="07198817" w:rsidR="00592A76" w:rsidRPr="00592A76" w:rsidRDefault="00592A76" w:rsidP="00592A76">
      <w:pPr>
        <w:jc w:val="both"/>
        <w:rPr>
          <w:rFonts w:ascii="Times New Roman" w:hAnsi="Times New Roman" w:cs="Times New Roman"/>
          <w:b/>
          <w:bCs/>
          <w:sz w:val="26"/>
          <w:szCs w:val="26"/>
          <w:lang w:val="vi-VN"/>
        </w:rPr>
      </w:pPr>
      <w:r w:rsidRPr="00592A76">
        <w:rPr>
          <w:rFonts w:ascii="Times New Roman" w:hAnsi="Times New Roman" w:cs="Times New Roman"/>
          <w:b/>
          <w:bCs/>
          <w:sz w:val="26"/>
          <w:szCs w:val="26"/>
          <w:lang w:val="vi-VN"/>
        </w:rPr>
        <w:t>Tài liệu tham khảo:</w:t>
      </w:r>
    </w:p>
    <w:p w14:paraId="1F70E6E3" w14:textId="77777777" w:rsidR="00592A76" w:rsidRDefault="00592A76" w:rsidP="00592A76">
      <w:pPr>
        <w:jc w:val="both"/>
        <w:rPr>
          <w:rFonts w:ascii="Times New Roman" w:hAnsi="Times New Roman" w:cs="Times New Roman"/>
          <w:sz w:val="26"/>
          <w:szCs w:val="26"/>
          <w:lang w:val="vi-VN"/>
        </w:rPr>
      </w:pPr>
    </w:p>
    <w:p w14:paraId="38541375" w14:textId="5C8F5F61" w:rsidR="00592A76" w:rsidRDefault="00592A76" w:rsidP="00592A76">
      <w:pPr>
        <w:jc w:val="both"/>
        <w:rPr>
          <w:rFonts w:ascii="Times New Roman" w:eastAsia="Times New Roman" w:hAnsi="Times New Roman" w:cs="Times New Roman"/>
          <w:color w:val="333333"/>
          <w:kern w:val="0"/>
          <w:sz w:val="26"/>
          <w:szCs w:val="26"/>
          <w:lang w:val="vi-VN"/>
          <w14:ligatures w14:val="none"/>
        </w:rPr>
      </w:pPr>
      <w:r>
        <w:rPr>
          <w:rFonts w:ascii="Times New Roman" w:hAnsi="Times New Roman" w:cs="Times New Roman"/>
          <w:sz w:val="26"/>
          <w:szCs w:val="26"/>
          <w:lang w:val="vi-VN"/>
        </w:rPr>
        <w:t xml:space="preserve">1. Thông tư </w:t>
      </w:r>
      <w:r>
        <w:rPr>
          <w:rFonts w:ascii="Times New Roman" w:eastAsia="Times New Roman" w:hAnsi="Times New Roman" w:cs="Times New Roman"/>
          <w:color w:val="333333"/>
          <w:kern w:val="0"/>
          <w:sz w:val="26"/>
          <w:szCs w:val="26"/>
          <w:lang w:val="vi-VN"/>
          <w14:ligatures w14:val="none"/>
        </w:rPr>
        <w:t>14/2023/TT-BTC</w:t>
      </w:r>
    </w:p>
    <w:p w14:paraId="61901C95" w14:textId="34411509" w:rsidR="00592A76" w:rsidRPr="00592A76" w:rsidRDefault="00592A76" w:rsidP="00592A76">
      <w:pPr>
        <w:jc w:val="both"/>
        <w:rPr>
          <w:rFonts w:ascii="Times New Roman" w:hAnsi="Times New Roman" w:cs="Times New Roman"/>
          <w:sz w:val="26"/>
          <w:szCs w:val="26"/>
          <w:lang w:val="vi-VN"/>
        </w:rPr>
      </w:pPr>
      <w:r>
        <w:rPr>
          <w:rFonts w:ascii="Times New Roman" w:eastAsia="Times New Roman" w:hAnsi="Times New Roman" w:cs="Times New Roman"/>
          <w:color w:val="333333"/>
          <w:kern w:val="0"/>
          <w:sz w:val="26"/>
          <w:szCs w:val="26"/>
          <w:lang w:val="vi-VN"/>
          <w14:ligatures w14:val="none"/>
        </w:rPr>
        <w:t>2. Luatvietnam.vn</w:t>
      </w:r>
    </w:p>
    <w:sectPr w:rsidR="00592A76" w:rsidRPr="00592A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6E3B"/>
    <w:multiLevelType w:val="hybridMultilevel"/>
    <w:tmpl w:val="3D1E2C32"/>
    <w:lvl w:ilvl="0" w:tplc="503C98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08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76"/>
    <w:rsid w:val="003474CD"/>
    <w:rsid w:val="00592A76"/>
    <w:rsid w:val="008F16DC"/>
    <w:rsid w:val="00E6560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80B58E4"/>
  <w15:chartTrackingRefBased/>
  <w15:docId w15:val="{5B1C8657-F75C-0541-8BC5-165D484F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2A7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92A7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92A7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7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92A7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92A76"/>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592A76"/>
    <w:rPr>
      <w:color w:val="0000FF"/>
      <w:u w:val="single"/>
    </w:rPr>
  </w:style>
  <w:style w:type="paragraph" w:styleId="NormalWeb">
    <w:name w:val="Normal (Web)"/>
    <w:basedOn w:val="Normal"/>
    <w:uiPriority w:val="99"/>
    <w:semiHidden/>
    <w:unhideWhenUsed/>
    <w:rsid w:val="00592A7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592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91595">
      <w:bodyDiv w:val="1"/>
      <w:marLeft w:val="0"/>
      <w:marRight w:val="0"/>
      <w:marTop w:val="0"/>
      <w:marBottom w:val="0"/>
      <w:divBdr>
        <w:top w:val="none" w:sz="0" w:space="0" w:color="auto"/>
        <w:left w:val="none" w:sz="0" w:space="0" w:color="auto"/>
        <w:bottom w:val="none" w:sz="0" w:space="0" w:color="auto"/>
        <w:right w:val="none" w:sz="0" w:space="0" w:color="auto"/>
      </w:divBdr>
      <w:divsChild>
        <w:div w:id="162933414">
          <w:marLeft w:val="0"/>
          <w:marRight w:val="0"/>
          <w:marTop w:val="0"/>
          <w:marBottom w:val="450"/>
          <w:divBdr>
            <w:top w:val="single" w:sz="6" w:space="12" w:color="E6E6E6"/>
            <w:left w:val="none" w:sz="0" w:space="0" w:color="auto"/>
            <w:bottom w:val="none" w:sz="0" w:space="0" w:color="auto"/>
            <w:right w:val="none" w:sz="0" w:space="0" w:color="auto"/>
          </w:divBdr>
          <w:divsChild>
            <w:div w:id="567350630">
              <w:marLeft w:val="0"/>
              <w:marRight w:val="0"/>
              <w:marTop w:val="0"/>
              <w:marBottom w:val="0"/>
              <w:divBdr>
                <w:top w:val="none" w:sz="0" w:space="0" w:color="auto"/>
                <w:left w:val="none" w:sz="0" w:space="0" w:color="auto"/>
                <w:bottom w:val="none" w:sz="0" w:space="0" w:color="auto"/>
                <w:right w:val="none" w:sz="0" w:space="0" w:color="auto"/>
              </w:divBdr>
              <w:divsChild>
                <w:div w:id="7818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6521">
          <w:marLeft w:val="0"/>
          <w:marRight w:val="0"/>
          <w:marTop w:val="0"/>
          <w:marBottom w:val="0"/>
          <w:divBdr>
            <w:top w:val="none" w:sz="0" w:space="0" w:color="auto"/>
            <w:left w:val="none" w:sz="0" w:space="0" w:color="auto"/>
            <w:bottom w:val="none" w:sz="0" w:space="0" w:color="auto"/>
            <w:right w:val="none" w:sz="0" w:space="0" w:color="auto"/>
          </w:divBdr>
          <w:divsChild>
            <w:div w:id="6837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2023-05-16T08:30:00Z</dcterms:created>
  <dcterms:modified xsi:type="dcterms:W3CDTF">2023-05-16T08:30:00Z</dcterms:modified>
</cp:coreProperties>
</file>