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D73AC" w14:textId="466A7249" w:rsidR="0003595B" w:rsidRPr="00987F48" w:rsidRDefault="0078759D" w:rsidP="0078759D">
      <w:pPr>
        <w:spacing w:line="360" w:lineRule="auto"/>
        <w:jc w:val="center"/>
        <w:rPr>
          <w:rFonts w:ascii="Times New Roman" w:hAnsi="Times New Roman" w:cs="Times New Roman"/>
          <w:b/>
          <w:sz w:val="28"/>
          <w:szCs w:val="28"/>
        </w:rPr>
      </w:pPr>
      <w:bookmarkStart w:id="0" w:name="_GoBack"/>
      <w:bookmarkEnd w:id="0"/>
      <w:r w:rsidRPr="00987F48">
        <w:rPr>
          <w:rFonts w:ascii="Times New Roman" w:hAnsi="Times New Roman" w:cs="Times New Roman"/>
          <w:b/>
          <w:sz w:val="28"/>
          <w:szCs w:val="28"/>
        </w:rPr>
        <w:t>ẢNH HƯỞNG CỦA CHÊNH LỆCH KẾ TOÁN – THUẾ ĐẾN THUẾ THU NHẬP DOANH NGHIỆP</w:t>
      </w:r>
      <w:r w:rsidR="00820892" w:rsidRPr="00987F48">
        <w:rPr>
          <w:rFonts w:ascii="Times New Roman" w:hAnsi="Times New Roman" w:cs="Times New Roman"/>
          <w:b/>
          <w:sz w:val="28"/>
          <w:szCs w:val="28"/>
        </w:rPr>
        <w:t xml:space="preserve"> TẠI VIỆT NAM</w:t>
      </w:r>
    </w:p>
    <w:p w14:paraId="5D4FFDD9" w14:textId="22AB7957" w:rsidR="00F64E8A" w:rsidRPr="00F64E8A" w:rsidRDefault="00F64E8A" w:rsidP="004E2765">
      <w:pPr>
        <w:spacing w:after="0" w:line="312" w:lineRule="auto"/>
        <w:jc w:val="center"/>
        <w:rPr>
          <w:rFonts w:ascii="Times New Roman" w:hAnsi="Times New Roman" w:cs="Times New Roman"/>
          <w:b/>
          <w:iCs/>
          <w:sz w:val="24"/>
          <w:szCs w:val="24"/>
        </w:rPr>
      </w:pPr>
      <w:r w:rsidRPr="00F64E8A">
        <w:rPr>
          <w:rFonts w:ascii="Times New Roman" w:hAnsi="Times New Roman" w:cs="Times New Roman"/>
          <w:b/>
          <w:iCs/>
          <w:sz w:val="24"/>
          <w:szCs w:val="24"/>
        </w:rPr>
        <w:t>Nguyễn Thị Khánh Vân</w:t>
      </w:r>
    </w:p>
    <w:p w14:paraId="1912CA70" w14:textId="77777777" w:rsidR="00AA7EFB" w:rsidRPr="00987F48" w:rsidRDefault="00AA7EFB" w:rsidP="00B4511B">
      <w:pPr>
        <w:spacing w:after="0" w:line="360" w:lineRule="auto"/>
        <w:rPr>
          <w:rFonts w:ascii="Times New Roman" w:hAnsi="Times New Roman" w:cs="Times New Roman"/>
          <w:b/>
          <w:sz w:val="26"/>
          <w:szCs w:val="26"/>
        </w:rPr>
      </w:pPr>
    </w:p>
    <w:p w14:paraId="52DBF98E" w14:textId="77777777" w:rsidR="00CD1007" w:rsidRPr="00987F48" w:rsidRDefault="00CD1007" w:rsidP="00B7470E">
      <w:pPr>
        <w:pStyle w:val="ListParagraph"/>
        <w:numPr>
          <w:ilvl w:val="0"/>
          <w:numId w:val="1"/>
        </w:numPr>
        <w:spacing w:after="0" w:line="312" w:lineRule="auto"/>
        <w:ind w:left="0" w:firstLine="567"/>
        <w:jc w:val="both"/>
        <w:rPr>
          <w:rFonts w:ascii="Times New Roman" w:hAnsi="Times New Roman" w:cs="Times New Roman"/>
          <w:b/>
          <w:sz w:val="26"/>
          <w:szCs w:val="26"/>
        </w:rPr>
      </w:pPr>
      <w:r w:rsidRPr="00987F48">
        <w:rPr>
          <w:rFonts w:ascii="Times New Roman" w:hAnsi="Times New Roman" w:cs="Times New Roman"/>
          <w:b/>
          <w:sz w:val="26"/>
          <w:szCs w:val="26"/>
        </w:rPr>
        <w:t>Chênh lệch kế toán – thuế</w:t>
      </w:r>
    </w:p>
    <w:p w14:paraId="477E1C88" w14:textId="4E3BC86B" w:rsidR="00B80627" w:rsidRPr="00987F48" w:rsidRDefault="001E1271" w:rsidP="00B7470E">
      <w:pPr>
        <w:spacing w:after="0" w:line="312" w:lineRule="auto"/>
        <w:ind w:firstLine="567"/>
        <w:jc w:val="both"/>
        <w:rPr>
          <w:rFonts w:ascii="Times New Roman" w:hAnsi="Times New Roman" w:cs="Times New Roman"/>
          <w:sz w:val="26"/>
          <w:szCs w:val="26"/>
        </w:rPr>
      </w:pPr>
      <w:r w:rsidRPr="00987F48">
        <w:rPr>
          <w:rFonts w:ascii="Times New Roman" w:hAnsi="Times New Roman" w:cs="Times New Roman"/>
          <w:sz w:val="26"/>
          <w:szCs w:val="26"/>
        </w:rPr>
        <w:t>Chênh lệch kế toán</w:t>
      </w:r>
      <w:r w:rsidR="004D082A" w:rsidRPr="00987F48">
        <w:rPr>
          <w:rFonts w:ascii="Times New Roman" w:hAnsi="Times New Roman" w:cs="Times New Roman"/>
          <w:sz w:val="26"/>
          <w:szCs w:val="26"/>
        </w:rPr>
        <w:t xml:space="preserve"> </w:t>
      </w:r>
      <w:r w:rsidRPr="00987F48">
        <w:rPr>
          <w:rFonts w:ascii="Times New Roman" w:hAnsi="Times New Roman" w:cs="Times New Roman"/>
          <w:sz w:val="26"/>
          <w:szCs w:val="26"/>
        </w:rPr>
        <w:t xml:space="preserve">- thuế xảy ra khi kế toán và thuế </w:t>
      </w:r>
      <w:r w:rsidR="00565F00" w:rsidRPr="00987F48">
        <w:rPr>
          <w:rFonts w:ascii="Times New Roman" w:hAnsi="Times New Roman" w:cs="Times New Roman"/>
          <w:sz w:val="26"/>
          <w:szCs w:val="26"/>
        </w:rPr>
        <w:t>ghi nhận</w:t>
      </w:r>
      <w:r w:rsidRPr="00987F48">
        <w:rPr>
          <w:rFonts w:ascii="Times New Roman" w:hAnsi="Times New Roman" w:cs="Times New Roman"/>
          <w:sz w:val="26"/>
          <w:szCs w:val="26"/>
        </w:rPr>
        <w:t xml:space="preserve"> doanh thu và chi phí </w:t>
      </w:r>
      <w:r w:rsidR="00D00382" w:rsidRPr="00987F48">
        <w:rPr>
          <w:rFonts w:ascii="Times New Roman" w:hAnsi="Times New Roman" w:cs="Times New Roman"/>
          <w:sz w:val="26"/>
          <w:szCs w:val="26"/>
        </w:rPr>
        <w:t xml:space="preserve">theo </w:t>
      </w:r>
      <w:r w:rsidR="00565F00" w:rsidRPr="00987F48">
        <w:rPr>
          <w:rFonts w:ascii="Times New Roman" w:hAnsi="Times New Roman" w:cs="Times New Roman"/>
          <w:sz w:val="26"/>
          <w:szCs w:val="26"/>
        </w:rPr>
        <w:t>các</w:t>
      </w:r>
      <w:r w:rsidRPr="00987F48">
        <w:rPr>
          <w:rFonts w:ascii="Times New Roman" w:hAnsi="Times New Roman" w:cs="Times New Roman"/>
          <w:sz w:val="26"/>
          <w:szCs w:val="26"/>
        </w:rPr>
        <w:t xml:space="preserve"> cách khác nhau. </w:t>
      </w:r>
      <w:r w:rsidR="00B1149D" w:rsidRPr="00987F48">
        <w:rPr>
          <w:rFonts w:ascii="Times New Roman" w:hAnsi="Times New Roman" w:cs="Times New Roman"/>
          <w:sz w:val="26"/>
          <w:szCs w:val="26"/>
        </w:rPr>
        <w:t xml:space="preserve">Kế toán </w:t>
      </w:r>
      <w:r w:rsidR="00565F00" w:rsidRPr="00987F48">
        <w:rPr>
          <w:rFonts w:ascii="Times New Roman" w:hAnsi="Times New Roman" w:cs="Times New Roman"/>
          <w:sz w:val="26"/>
          <w:szCs w:val="26"/>
        </w:rPr>
        <w:t>ghi nhận</w:t>
      </w:r>
      <w:r w:rsidR="00B1149D" w:rsidRPr="00987F48">
        <w:rPr>
          <w:rFonts w:ascii="Times New Roman" w:hAnsi="Times New Roman" w:cs="Times New Roman"/>
          <w:sz w:val="26"/>
          <w:szCs w:val="26"/>
        </w:rPr>
        <w:t xml:space="preserve"> doanh thu và chi phí theo chuẩn mực và chế độ kế toán </w:t>
      </w:r>
      <w:r w:rsidR="00565F00" w:rsidRPr="00987F48">
        <w:rPr>
          <w:rFonts w:ascii="Times New Roman" w:hAnsi="Times New Roman" w:cs="Times New Roman"/>
          <w:sz w:val="26"/>
          <w:szCs w:val="26"/>
        </w:rPr>
        <w:t xml:space="preserve">hiện hành </w:t>
      </w:r>
      <w:r w:rsidR="00B1149D" w:rsidRPr="00987F48">
        <w:rPr>
          <w:rFonts w:ascii="Times New Roman" w:hAnsi="Times New Roman" w:cs="Times New Roman"/>
          <w:sz w:val="26"/>
          <w:szCs w:val="26"/>
        </w:rPr>
        <w:t xml:space="preserve">còn thuế </w:t>
      </w:r>
      <w:r w:rsidR="00565F00" w:rsidRPr="00987F48">
        <w:rPr>
          <w:rFonts w:ascii="Times New Roman" w:hAnsi="Times New Roman" w:cs="Times New Roman"/>
          <w:sz w:val="26"/>
          <w:szCs w:val="26"/>
        </w:rPr>
        <w:t>ghi nhận</w:t>
      </w:r>
      <w:r w:rsidR="00B1149D" w:rsidRPr="00987F48">
        <w:rPr>
          <w:rFonts w:ascii="Times New Roman" w:hAnsi="Times New Roman" w:cs="Times New Roman"/>
          <w:sz w:val="26"/>
          <w:szCs w:val="26"/>
        </w:rPr>
        <w:t xml:space="preserve"> doanh thu và chi phí theo luật thuế</w:t>
      </w:r>
      <w:r w:rsidR="004B354B" w:rsidRPr="00987F48">
        <w:rPr>
          <w:rFonts w:ascii="Times New Roman" w:hAnsi="Times New Roman" w:cs="Times New Roman"/>
          <w:sz w:val="26"/>
          <w:szCs w:val="26"/>
        </w:rPr>
        <w:t xml:space="preserve"> hiện hành</w:t>
      </w:r>
      <w:r w:rsidR="00B1149D" w:rsidRPr="00987F48">
        <w:rPr>
          <w:rFonts w:ascii="Times New Roman" w:hAnsi="Times New Roman" w:cs="Times New Roman"/>
          <w:sz w:val="26"/>
          <w:szCs w:val="26"/>
        </w:rPr>
        <w:t xml:space="preserve">. </w:t>
      </w:r>
      <w:r w:rsidR="007736C4" w:rsidRPr="00987F48">
        <w:rPr>
          <w:rFonts w:ascii="Times New Roman" w:hAnsi="Times New Roman" w:cs="Times New Roman"/>
          <w:sz w:val="26"/>
          <w:szCs w:val="26"/>
        </w:rPr>
        <w:t>Các</w:t>
      </w:r>
      <w:r w:rsidR="00B80627" w:rsidRPr="00987F48">
        <w:rPr>
          <w:rFonts w:ascii="Times New Roman" w:hAnsi="Times New Roman" w:cs="Times New Roman"/>
          <w:sz w:val="26"/>
          <w:szCs w:val="26"/>
        </w:rPr>
        <w:t xml:space="preserve"> hướng dẫn chi tiết để xác định số chênh lệch giữa doanh thu, chi phí </w:t>
      </w:r>
      <w:r w:rsidR="007736C4" w:rsidRPr="00987F48">
        <w:rPr>
          <w:rFonts w:ascii="Times New Roman" w:hAnsi="Times New Roman" w:cs="Times New Roman"/>
          <w:sz w:val="26"/>
          <w:szCs w:val="26"/>
        </w:rPr>
        <w:t xml:space="preserve">được trình bày trong </w:t>
      </w:r>
      <w:r w:rsidR="00143581" w:rsidRPr="00987F48">
        <w:rPr>
          <w:rFonts w:ascii="Times New Roman" w:hAnsi="Times New Roman" w:cs="Times New Roman"/>
          <w:sz w:val="26"/>
          <w:szCs w:val="26"/>
        </w:rPr>
        <w:t>C</w:t>
      </w:r>
      <w:r w:rsidR="007736C4" w:rsidRPr="00987F48">
        <w:rPr>
          <w:rFonts w:ascii="Times New Roman" w:hAnsi="Times New Roman" w:cs="Times New Roman"/>
          <w:sz w:val="26"/>
          <w:szCs w:val="26"/>
        </w:rPr>
        <w:t>huẩn mực kế toán số 17</w:t>
      </w:r>
      <w:r w:rsidR="004F4D41" w:rsidRPr="00987F48">
        <w:rPr>
          <w:rFonts w:ascii="Times New Roman" w:hAnsi="Times New Roman" w:cs="Times New Roman"/>
          <w:sz w:val="26"/>
          <w:szCs w:val="26"/>
        </w:rPr>
        <w:t xml:space="preserve"> và các quy định có liên quan</w:t>
      </w:r>
      <w:r w:rsidR="00B80627" w:rsidRPr="00987F48">
        <w:rPr>
          <w:rFonts w:ascii="Times New Roman" w:hAnsi="Times New Roman" w:cs="Times New Roman"/>
          <w:sz w:val="26"/>
          <w:szCs w:val="26"/>
        </w:rPr>
        <w:t xml:space="preserve">. </w:t>
      </w:r>
      <w:r w:rsidR="007736C4" w:rsidRPr="00987F48">
        <w:rPr>
          <w:rFonts w:ascii="Times New Roman" w:hAnsi="Times New Roman" w:cs="Times New Roman"/>
          <w:sz w:val="26"/>
          <w:szCs w:val="26"/>
        </w:rPr>
        <w:t>Theo đó, c</w:t>
      </w:r>
      <w:r w:rsidR="00B80627" w:rsidRPr="00987F48">
        <w:rPr>
          <w:rFonts w:ascii="Times New Roman" w:hAnsi="Times New Roman" w:cs="Times New Roman"/>
          <w:sz w:val="26"/>
          <w:szCs w:val="26"/>
        </w:rPr>
        <w:t xml:space="preserve">ác khoản chênh lệch được chia thành hai loại, đó là chênh lệch </w:t>
      </w:r>
      <w:r w:rsidR="00B83C9A" w:rsidRPr="00987F48">
        <w:rPr>
          <w:rFonts w:ascii="Times New Roman" w:hAnsi="Times New Roman" w:cs="Times New Roman"/>
          <w:sz w:val="26"/>
          <w:szCs w:val="26"/>
        </w:rPr>
        <w:t>tạm thời</w:t>
      </w:r>
      <w:r w:rsidR="00B80627" w:rsidRPr="00987F48">
        <w:rPr>
          <w:rFonts w:ascii="Times New Roman" w:hAnsi="Times New Roman" w:cs="Times New Roman"/>
          <w:sz w:val="26"/>
          <w:szCs w:val="26"/>
        </w:rPr>
        <w:t xml:space="preserve"> và chênh lệch </w:t>
      </w:r>
      <w:r w:rsidR="00B83C9A" w:rsidRPr="00987F48">
        <w:rPr>
          <w:rFonts w:ascii="Times New Roman" w:hAnsi="Times New Roman" w:cs="Times New Roman"/>
          <w:sz w:val="26"/>
          <w:szCs w:val="26"/>
        </w:rPr>
        <w:t>vĩnh viễn</w:t>
      </w:r>
      <w:r w:rsidR="00B80627" w:rsidRPr="00987F48">
        <w:rPr>
          <w:rFonts w:ascii="Times New Roman" w:hAnsi="Times New Roman" w:cs="Times New Roman"/>
          <w:sz w:val="26"/>
          <w:szCs w:val="26"/>
        </w:rPr>
        <w:t>.</w:t>
      </w:r>
    </w:p>
    <w:p w14:paraId="277A6B46" w14:textId="33BF1D05" w:rsidR="00B1149D" w:rsidRPr="00987F48" w:rsidRDefault="00C0631E"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iCs/>
          <w:sz w:val="26"/>
          <w:szCs w:val="26"/>
          <w:lang w:val="nl-NL"/>
        </w:rPr>
        <w:t>C</w:t>
      </w:r>
      <w:r w:rsidR="00621070" w:rsidRPr="00987F48">
        <w:rPr>
          <w:rFonts w:ascii="Times New Roman" w:eastAsia="Times New Roman" w:hAnsi="Times New Roman" w:cs="Times New Roman"/>
          <w:iCs/>
          <w:sz w:val="26"/>
          <w:szCs w:val="26"/>
          <w:lang w:val="nl-NL"/>
        </w:rPr>
        <w:t>hênh lệch tạm thời</w:t>
      </w:r>
      <w:r w:rsidR="00621070" w:rsidRPr="00987F48">
        <w:rPr>
          <w:rFonts w:ascii="Times New Roman" w:eastAsia="Times New Roman" w:hAnsi="Times New Roman" w:cs="Times New Roman"/>
          <w:sz w:val="26"/>
          <w:szCs w:val="26"/>
          <w:lang w:val="nl-NL"/>
        </w:rPr>
        <w:t>:</w:t>
      </w:r>
      <w:r w:rsidR="006F1CF4" w:rsidRPr="00987F48">
        <w:rPr>
          <w:rFonts w:ascii="Times New Roman" w:eastAsia="Times New Roman" w:hAnsi="Times New Roman" w:cs="Times New Roman"/>
          <w:sz w:val="26"/>
          <w:szCs w:val="26"/>
          <w:lang w:val="nl-NL"/>
        </w:rPr>
        <w:t xml:space="preserve"> </w:t>
      </w:r>
      <w:r w:rsidR="00621070" w:rsidRPr="00987F48">
        <w:rPr>
          <w:rFonts w:ascii="Times New Roman" w:eastAsia="Times New Roman" w:hAnsi="Times New Roman" w:cs="Times New Roman"/>
          <w:sz w:val="26"/>
          <w:szCs w:val="26"/>
          <w:lang w:val="nl-NL"/>
        </w:rPr>
        <w:t xml:space="preserve">Là khoản chênh lệch giữa giá trị ghi sổ của các khoản mục tài sản hay nợ phải trả trong Bảng Cân đối kế toán và </w:t>
      </w:r>
      <w:r w:rsidR="0037481F" w:rsidRPr="00987F48">
        <w:rPr>
          <w:rFonts w:ascii="Times New Roman" w:eastAsia="Times New Roman" w:hAnsi="Times New Roman" w:cs="Times New Roman"/>
          <w:sz w:val="26"/>
          <w:szCs w:val="26"/>
          <w:lang w:val="nl-NL"/>
        </w:rPr>
        <w:t xml:space="preserve">là </w:t>
      </w:r>
      <w:r w:rsidR="00621070" w:rsidRPr="00987F48">
        <w:rPr>
          <w:rFonts w:ascii="Times New Roman" w:eastAsia="Times New Roman" w:hAnsi="Times New Roman" w:cs="Times New Roman"/>
          <w:sz w:val="26"/>
          <w:szCs w:val="26"/>
          <w:lang w:val="nl-NL"/>
        </w:rPr>
        <w:t>cơ sở tính thuế thu nhập của các khoản mục này</w:t>
      </w:r>
      <w:r w:rsidR="00882CE4" w:rsidRPr="00987F48">
        <w:rPr>
          <w:rFonts w:ascii="Times New Roman" w:eastAsia="Times New Roman" w:hAnsi="Times New Roman" w:cs="Times New Roman"/>
          <w:sz w:val="26"/>
          <w:szCs w:val="26"/>
          <w:lang w:val="nl-NL"/>
        </w:rPr>
        <w:t xml:space="preserve"> (</w:t>
      </w:r>
      <w:r w:rsidR="00882CE4" w:rsidRPr="00F33758">
        <w:rPr>
          <w:rFonts w:ascii="Times New Roman" w:eastAsia="Times New Roman" w:hAnsi="Times New Roman" w:cs="Times New Roman"/>
          <w:sz w:val="26"/>
          <w:szCs w:val="26"/>
          <w:highlight w:val="yellow"/>
          <w:lang w:val="nl-NL"/>
        </w:rPr>
        <w:t>Chuẩn mực kế toán số 17)</w:t>
      </w:r>
      <w:r w:rsidR="00621070" w:rsidRPr="00F33758">
        <w:rPr>
          <w:rFonts w:ascii="Times New Roman" w:eastAsia="Times New Roman" w:hAnsi="Times New Roman" w:cs="Times New Roman"/>
          <w:sz w:val="26"/>
          <w:szCs w:val="26"/>
          <w:highlight w:val="yellow"/>
          <w:lang w:val="nl-NL"/>
        </w:rPr>
        <w:t>.</w:t>
      </w:r>
      <w:r w:rsidR="00621070" w:rsidRPr="00987F48">
        <w:rPr>
          <w:rFonts w:ascii="Times New Roman" w:eastAsia="Times New Roman" w:hAnsi="Times New Roman" w:cs="Times New Roman"/>
          <w:sz w:val="26"/>
          <w:szCs w:val="26"/>
          <w:lang w:val="nl-NL"/>
        </w:rPr>
        <w:t xml:space="preserve"> Chênh lệch tạm thời có thể là:</w:t>
      </w:r>
    </w:p>
    <w:p w14:paraId="415A01A1" w14:textId="7D2269B6" w:rsidR="00621070" w:rsidRPr="00987F48" w:rsidRDefault="00B1149D"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i/>
          <w:iCs/>
          <w:spacing w:val="-4"/>
          <w:sz w:val="26"/>
          <w:szCs w:val="26"/>
          <w:lang w:val="nl-NL"/>
        </w:rPr>
        <w:t xml:space="preserve">- </w:t>
      </w:r>
      <w:r w:rsidR="00621070" w:rsidRPr="00987F48">
        <w:rPr>
          <w:rFonts w:ascii="Times New Roman" w:eastAsia="Times New Roman" w:hAnsi="Times New Roman" w:cs="Times New Roman"/>
          <w:iCs/>
          <w:spacing w:val="-4"/>
          <w:sz w:val="26"/>
          <w:szCs w:val="26"/>
          <w:lang w:val="nl-NL"/>
        </w:rPr>
        <w:t xml:space="preserve">Chênh lệch tạm thời phải chịu thuế </w:t>
      </w:r>
      <w:r w:rsidR="006B2956" w:rsidRPr="00987F48">
        <w:rPr>
          <w:rFonts w:ascii="Times New Roman" w:eastAsia="Times New Roman" w:hAnsi="Times New Roman" w:cs="Times New Roman"/>
          <w:iCs/>
          <w:spacing w:val="-4"/>
          <w:sz w:val="26"/>
          <w:szCs w:val="26"/>
          <w:lang w:val="nl-NL"/>
        </w:rPr>
        <w:t>thu nhập doanh nghiệp (</w:t>
      </w:r>
      <w:r w:rsidR="00437D9A" w:rsidRPr="00987F48">
        <w:rPr>
          <w:rFonts w:ascii="Times New Roman" w:hAnsi="Times New Roman" w:cs="Times New Roman"/>
          <w:sz w:val="26"/>
          <w:szCs w:val="26"/>
        </w:rPr>
        <w:t>TNDN</w:t>
      </w:r>
      <w:r w:rsidR="006B2956" w:rsidRPr="00987F48">
        <w:rPr>
          <w:rFonts w:ascii="Times New Roman" w:hAnsi="Times New Roman" w:cs="Times New Roman"/>
          <w:sz w:val="26"/>
          <w:szCs w:val="26"/>
        </w:rPr>
        <w:t>)</w:t>
      </w:r>
      <w:r w:rsidR="00621070" w:rsidRPr="00987F48">
        <w:rPr>
          <w:rFonts w:ascii="Times New Roman" w:eastAsia="Times New Roman" w:hAnsi="Times New Roman" w:cs="Times New Roman"/>
          <w:iCs/>
          <w:spacing w:val="-4"/>
          <w:sz w:val="26"/>
          <w:szCs w:val="26"/>
          <w:lang w:val="nl-NL"/>
        </w:rPr>
        <w:t>:</w:t>
      </w:r>
      <w:r w:rsidR="006F1CF4" w:rsidRPr="00987F48">
        <w:rPr>
          <w:rFonts w:ascii="Times New Roman" w:eastAsia="Times New Roman" w:hAnsi="Times New Roman" w:cs="Times New Roman"/>
          <w:i/>
          <w:iCs/>
          <w:spacing w:val="-4"/>
          <w:sz w:val="26"/>
          <w:szCs w:val="26"/>
          <w:lang w:val="nl-NL"/>
        </w:rPr>
        <w:t xml:space="preserve"> </w:t>
      </w:r>
      <w:r w:rsidR="00621070" w:rsidRPr="00987F48">
        <w:rPr>
          <w:rFonts w:ascii="Times New Roman" w:eastAsia="Times New Roman" w:hAnsi="Times New Roman" w:cs="Times New Roman"/>
          <w:spacing w:val="-4"/>
          <w:sz w:val="26"/>
          <w:szCs w:val="26"/>
          <w:lang w:val="nl-NL"/>
        </w:rPr>
        <w:t xml:space="preserve">Là các khoản chênh lệch tạm thời làm phát sinh thu nhập chịu thuế khi xác định thu nhập chịu thuế </w:t>
      </w:r>
      <w:r w:rsidR="00437D9A" w:rsidRPr="00987F48">
        <w:rPr>
          <w:rFonts w:ascii="Times New Roman" w:hAnsi="Times New Roman" w:cs="Times New Roman"/>
          <w:sz w:val="26"/>
          <w:szCs w:val="26"/>
        </w:rPr>
        <w:t>TNDN</w:t>
      </w:r>
      <w:r w:rsidR="00437D9A" w:rsidRPr="00987F48">
        <w:rPr>
          <w:rFonts w:ascii="Times New Roman" w:eastAsia="Times New Roman" w:hAnsi="Times New Roman" w:cs="Times New Roman"/>
          <w:spacing w:val="-4"/>
          <w:sz w:val="26"/>
          <w:szCs w:val="26"/>
          <w:lang w:val="nl-NL"/>
        </w:rPr>
        <w:t xml:space="preserve"> </w:t>
      </w:r>
      <w:r w:rsidR="00621070" w:rsidRPr="00987F48">
        <w:rPr>
          <w:rFonts w:ascii="Times New Roman" w:eastAsia="Times New Roman" w:hAnsi="Times New Roman" w:cs="Times New Roman"/>
          <w:spacing w:val="-4"/>
          <w:sz w:val="26"/>
          <w:szCs w:val="26"/>
          <w:lang w:val="nl-NL"/>
        </w:rPr>
        <w:t>trong tương lai khi giá trị ghi sổ của các khoản mục tài sản hoặc nợ phải trả liên quan đư</w:t>
      </w:r>
      <w:r w:rsidR="00F041FB" w:rsidRPr="00987F48">
        <w:rPr>
          <w:rFonts w:ascii="Times New Roman" w:eastAsia="Times New Roman" w:hAnsi="Times New Roman" w:cs="Times New Roman"/>
          <w:spacing w:val="-4"/>
          <w:sz w:val="26"/>
          <w:szCs w:val="26"/>
          <w:lang w:val="nl-NL"/>
        </w:rPr>
        <w:t>ợc thu hồi hay được thanh toán.</w:t>
      </w:r>
    </w:p>
    <w:p w14:paraId="34FD66B0" w14:textId="6C721D86" w:rsidR="00621070" w:rsidRPr="00987F48" w:rsidRDefault="00B1149D" w:rsidP="00B7470E">
      <w:pPr>
        <w:shd w:val="clear" w:color="auto" w:fill="FFFFFF"/>
        <w:spacing w:after="0" w:line="312" w:lineRule="auto"/>
        <w:ind w:firstLine="567"/>
        <w:jc w:val="both"/>
        <w:rPr>
          <w:rFonts w:ascii="Times New Roman" w:eastAsia="Times New Roman" w:hAnsi="Times New Roman" w:cs="Times New Roman"/>
          <w:sz w:val="26"/>
          <w:szCs w:val="26"/>
          <w:lang w:val="nl-NL"/>
        </w:rPr>
      </w:pPr>
      <w:r w:rsidRPr="00987F48">
        <w:rPr>
          <w:rFonts w:ascii="Times New Roman" w:eastAsia="Times New Roman" w:hAnsi="Times New Roman" w:cs="Times New Roman"/>
          <w:i/>
          <w:iCs/>
          <w:sz w:val="26"/>
          <w:szCs w:val="26"/>
          <w:lang w:val="nl-NL"/>
        </w:rPr>
        <w:t xml:space="preserve">- </w:t>
      </w:r>
      <w:r w:rsidR="00621070" w:rsidRPr="00987F48">
        <w:rPr>
          <w:rFonts w:ascii="Times New Roman" w:eastAsia="Times New Roman" w:hAnsi="Times New Roman" w:cs="Times New Roman"/>
          <w:iCs/>
          <w:sz w:val="26"/>
          <w:szCs w:val="26"/>
          <w:lang w:val="nl-NL"/>
        </w:rPr>
        <w:t>Chênh lệch tạm thời được khấu trừ:</w:t>
      </w:r>
      <w:r w:rsidR="006F1CF4" w:rsidRPr="00987F48">
        <w:rPr>
          <w:rFonts w:ascii="Times New Roman" w:eastAsia="Times New Roman" w:hAnsi="Times New Roman" w:cs="Times New Roman"/>
          <w:i/>
          <w:iCs/>
          <w:sz w:val="26"/>
          <w:szCs w:val="26"/>
          <w:lang w:val="nl-NL"/>
        </w:rPr>
        <w:t xml:space="preserve"> </w:t>
      </w:r>
      <w:r w:rsidR="00621070" w:rsidRPr="00987F48">
        <w:rPr>
          <w:rFonts w:ascii="Times New Roman" w:eastAsia="Times New Roman" w:hAnsi="Times New Roman" w:cs="Times New Roman"/>
          <w:sz w:val="26"/>
          <w:szCs w:val="26"/>
          <w:lang w:val="nl-NL"/>
        </w:rPr>
        <w:t xml:space="preserve">Là các khoản chênh lệch tạm thời làm phát sinh các khoản được khấu trừ khi xác định thu nhập chịu thuế </w:t>
      </w:r>
      <w:r w:rsidR="00437D9A" w:rsidRPr="00987F48">
        <w:rPr>
          <w:rFonts w:ascii="Times New Roman" w:hAnsi="Times New Roman" w:cs="Times New Roman"/>
          <w:sz w:val="26"/>
          <w:szCs w:val="26"/>
        </w:rPr>
        <w:t>TNDN</w:t>
      </w:r>
      <w:r w:rsidR="00437D9A" w:rsidRPr="00987F48">
        <w:rPr>
          <w:rFonts w:ascii="Times New Roman" w:eastAsia="Times New Roman" w:hAnsi="Times New Roman" w:cs="Times New Roman"/>
          <w:sz w:val="26"/>
          <w:szCs w:val="26"/>
          <w:lang w:val="nl-NL"/>
        </w:rPr>
        <w:t xml:space="preserve"> </w:t>
      </w:r>
      <w:r w:rsidR="00621070" w:rsidRPr="00987F48">
        <w:rPr>
          <w:rFonts w:ascii="Times New Roman" w:eastAsia="Times New Roman" w:hAnsi="Times New Roman" w:cs="Times New Roman"/>
          <w:sz w:val="26"/>
          <w:szCs w:val="26"/>
          <w:lang w:val="nl-NL"/>
        </w:rPr>
        <w:t>trong tương lai khi giá trị ghi sổ của các khoản mục tài sản hoặc nợ phải trả liên quan được thu hồi hay được thanh toán.</w:t>
      </w:r>
    </w:p>
    <w:p w14:paraId="1400D167" w14:textId="70912727" w:rsidR="004B354B" w:rsidRPr="00987F48" w:rsidRDefault="004B354B" w:rsidP="00B7470E">
      <w:pPr>
        <w:spacing w:after="0" w:line="312" w:lineRule="auto"/>
        <w:ind w:firstLine="567"/>
        <w:jc w:val="both"/>
        <w:rPr>
          <w:rFonts w:ascii="Times New Roman" w:hAnsi="Times New Roman" w:cs="Times New Roman"/>
          <w:sz w:val="26"/>
          <w:szCs w:val="26"/>
        </w:rPr>
      </w:pPr>
      <w:r w:rsidRPr="00987F48">
        <w:rPr>
          <w:rFonts w:ascii="Times New Roman" w:hAnsi="Times New Roman" w:cs="Times New Roman"/>
          <w:sz w:val="26"/>
          <w:szCs w:val="26"/>
        </w:rPr>
        <w:t xml:space="preserve">Sự khác biệt này đã ảnh hưởng đến việc tính toán thuế, lập tờ khai quyết toán thuế TNDN cuối năm tài chính của các doanh nghiệp. </w:t>
      </w:r>
    </w:p>
    <w:p w14:paraId="675CB98B" w14:textId="77777777" w:rsidR="00C15276" w:rsidRPr="00987F48" w:rsidRDefault="00C15276" w:rsidP="00B7470E">
      <w:pPr>
        <w:pStyle w:val="ListParagraph"/>
        <w:numPr>
          <w:ilvl w:val="0"/>
          <w:numId w:val="1"/>
        </w:numPr>
        <w:spacing w:after="0" w:line="312" w:lineRule="auto"/>
        <w:ind w:left="0" w:firstLine="567"/>
        <w:jc w:val="both"/>
        <w:rPr>
          <w:rFonts w:ascii="Times New Roman" w:hAnsi="Times New Roman" w:cs="Times New Roman"/>
          <w:b/>
          <w:sz w:val="26"/>
          <w:szCs w:val="26"/>
        </w:rPr>
      </w:pPr>
      <w:r w:rsidRPr="00987F48">
        <w:rPr>
          <w:rFonts w:ascii="Times New Roman" w:hAnsi="Times New Roman" w:cs="Times New Roman"/>
          <w:b/>
          <w:sz w:val="26"/>
          <w:szCs w:val="26"/>
        </w:rPr>
        <w:t xml:space="preserve">Khác biệt trong cách ghi nhận doanh thu và chi phí giữa kế toán </w:t>
      </w:r>
      <w:r w:rsidR="00E5500C" w:rsidRPr="00987F48">
        <w:rPr>
          <w:rFonts w:ascii="Times New Roman" w:hAnsi="Times New Roman" w:cs="Times New Roman"/>
          <w:b/>
          <w:sz w:val="26"/>
          <w:szCs w:val="26"/>
        </w:rPr>
        <w:t>và</w:t>
      </w:r>
      <w:r w:rsidRPr="00987F48">
        <w:rPr>
          <w:rFonts w:ascii="Times New Roman" w:hAnsi="Times New Roman" w:cs="Times New Roman"/>
          <w:b/>
          <w:sz w:val="26"/>
          <w:szCs w:val="26"/>
        </w:rPr>
        <w:t xml:space="preserve"> thuế</w:t>
      </w:r>
    </w:p>
    <w:p w14:paraId="6B46EE1F" w14:textId="4F0B74E3" w:rsidR="00B80627" w:rsidRPr="00987F48" w:rsidRDefault="00C8544B" w:rsidP="00B7470E">
      <w:pPr>
        <w:pStyle w:val="ListParagraph"/>
        <w:numPr>
          <w:ilvl w:val="1"/>
          <w:numId w:val="1"/>
        </w:numPr>
        <w:shd w:val="clear" w:color="auto" w:fill="FFFFFF"/>
        <w:spacing w:after="0" w:line="312" w:lineRule="auto"/>
        <w:ind w:left="0" w:firstLine="567"/>
        <w:jc w:val="both"/>
        <w:rPr>
          <w:rFonts w:ascii="Times New Roman" w:eastAsia="Times New Roman" w:hAnsi="Times New Roman" w:cs="Times New Roman"/>
          <w:b/>
          <w:bCs/>
          <w:sz w:val="26"/>
          <w:szCs w:val="26"/>
        </w:rPr>
      </w:pPr>
      <w:r w:rsidRPr="00987F48">
        <w:rPr>
          <w:rFonts w:ascii="Times New Roman" w:eastAsia="Times New Roman" w:hAnsi="Times New Roman" w:cs="Times New Roman"/>
          <w:b/>
          <w:bCs/>
          <w:sz w:val="26"/>
          <w:szCs w:val="26"/>
        </w:rPr>
        <w:t>K</w:t>
      </w:r>
      <w:r w:rsidR="00B80627" w:rsidRPr="00987F48">
        <w:rPr>
          <w:rFonts w:ascii="Times New Roman" w:eastAsia="Times New Roman" w:hAnsi="Times New Roman" w:cs="Times New Roman"/>
          <w:b/>
          <w:bCs/>
          <w:sz w:val="26"/>
          <w:szCs w:val="26"/>
        </w:rPr>
        <w:t>hác biệt trong ghi nhận doanh thu giữa kế toán và thuế</w:t>
      </w:r>
    </w:p>
    <w:p w14:paraId="059012DE" w14:textId="1A29A4F2" w:rsidR="003D42CF" w:rsidRPr="00987F48" w:rsidRDefault="003D42CF" w:rsidP="00B7470E">
      <w:pPr>
        <w:pStyle w:val="ListParagraph"/>
        <w:shd w:val="clear" w:color="auto" w:fill="FFFFFF"/>
        <w:spacing w:after="0" w:line="312" w:lineRule="auto"/>
        <w:ind w:left="0" w:firstLine="567"/>
        <w:jc w:val="both"/>
        <w:rPr>
          <w:rFonts w:ascii="Times New Roman" w:eastAsia="Times New Roman" w:hAnsi="Times New Roman" w:cs="Times New Roman"/>
          <w:bCs/>
          <w:sz w:val="26"/>
          <w:szCs w:val="26"/>
        </w:rPr>
      </w:pPr>
      <w:r w:rsidRPr="00987F48">
        <w:rPr>
          <w:rFonts w:ascii="Times New Roman" w:eastAsia="Times New Roman" w:hAnsi="Times New Roman" w:cs="Times New Roman"/>
          <w:sz w:val="26"/>
          <w:szCs w:val="26"/>
        </w:rPr>
        <w:t xml:space="preserve">Theo quy định kế toán, </w:t>
      </w:r>
      <w:r w:rsidR="00C8085D" w:rsidRPr="00987F48">
        <w:rPr>
          <w:rFonts w:ascii="Times New Roman" w:eastAsia="Times New Roman" w:hAnsi="Times New Roman" w:cs="Times New Roman"/>
          <w:sz w:val="26"/>
          <w:szCs w:val="26"/>
        </w:rPr>
        <w:t xml:space="preserve">doanh thu được xác định </w:t>
      </w:r>
      <w:r w:rsidR="00C8085D" w:rsidRPr="00987F48">
        <w:rPr>
          <w:rFonts w:ascii="Times New Roman" w:eastAsia="Times New Roman" w:hAnsi="Times New Roman" w:cs="Times New Roman"/>
          <w:bCs/>
          <w:sz w:val="26"/>
          <w:szCs w:val="26"/>
        </w:rPr>
        <w:t xml:space="preserve">tại thời điểm giao dịch phát sinh, khi chắc chắn thu được lợi ích kinh tế, </w:t>
      </w:r>
      <w:r w:rsidR="006B2956" w:rsidRPr="00987F48">
        <w:rPr>
          <w:rFonts w:ascii="Times New Roman" w:eastAsia="Times New Roman" w:hAnsi="Times New Roman" w:cs="Times New Roman"/>
          <w:bCs/>
          <w:sz w:val="26"/>
          <w:szCs w:val="26"/>
        </w:rPr>
        <w:t xml:space="preserve">hoặc </w:t>
      </w:r>
      <w:r w:rsidR="00C8085D" w:rsidRPr="00987F48">
        <w:rPr>
          <w:rFonts w:ascii="Times New Roman" w:eastAsia="Times New Roman" w:hAnsi="Times New Roman" w:cs="Times New Roman"/>
          <w:bCs/>
          <w:sz w:val="26"/>
          <w:szCs w:val="26"/>
        </w:rPr>
        <w:t>được xác định theo giá trị hợp lý của các khoản được quyền nhận không phân biệt là đã thu được tiền hay sẽ thu được tiền hoặc được ghi nhận khi dịch vụ hoàn thành</w:t>
      </w:r>
      <w:r w:rsidR="00DC396B" w:rsidRPr="00987F48">
        <w:rPr>
          <w:rFonts w:ascii="Times New Roman" w:eastAsia="Times New Roman" w:hAnsi="Times New Roman" w:cs="Times New Roman"/>
          <w:bCs/>
          <w:sz w:val="26"/>
          <w:szCs w:val="26"/>
        </w:rPr>
        <w:t>.</w:t>
      </w:r>
      <w:r w:rsidR="00870305" w:rsidRPr="00987F48">
        <w:rPr>
          <w:rFonts w:ascii="Times New Roman" w:eastAsia="Times New Roman" w:hAnsi="Times New Roman" w:cs="Times New Roman"/>
          <w:bCs/>
          <w:sz w:val="26"/>
          <w:szCs w:val="26"/>
        </w:rPr>
        <w:t xml:space="preserve"> Còn thời điểm xác định doanh thu theo luật thuế đối với hoạt động bán hàng hóa, cung ứng dịch vụ là thời điểm chuyển giao quyền sở hữu hàng hóa, hoàn thành dịch vụ hoặc thời điểm lập hóa đơn</w:t>
      </w:r>
      <w:r w:rsidR="00AF1114" w:rsidRPr="00987F48">
        <w:rPr>
          <w:rFonts w:ascii="Times New Roman" w:eastAsia="Times New Roman" w:hAnsi="Times New Roman" w:cs="Times New Roman"/>
          <w:bCs/>
          <w:sz w:val="26"/>
          <w:szCs w:val="26"/>
        </w:rPr>
        <w:t xml:space="preserve"> bán hàng, cung cấp dịch vụ.</w:t>
      </w:r>
    </w:p>
    <w:p w14:paraId="4E714FA6" w14:textId="258A7DCE" w:rsidR="00DC396B" w:rsidRPr="00987F48" w:rsidRDefault="006B2956" w:rsidP="00B7470E">
      <w:pPr>
        <w:pStyle w:val="ListParagraph"/>
        <w:shd w:val="clear" w:color="auto" w:fill="FFFFFF"/>
        <w:spacing w:after="0" w:line="312" w:lineRule="auto"/>
        <w:ind w:left="0"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bCs/>
          <w:sz w:val="26"/>
          <w:szCs w:val="26"/>
        </w:rPr>
        <w:t>Ngoài ra, d</w:t>
      </w:r>
      <w:r w:rsidR="00AF1114" w:rsidRPr="00987F48">
        <w:rPr>
          <w:rFonts w:ascii="Times New Roman" w:eastAsia="Times New Roman" w:hAnsi="Times New Roman" w:cs="Times New Roman"/>
          <w:bCs/>
          <w:sz w:val="26"/>
          <w:szCs w:val="26"/>
        </w:rPr>
        <w:t xml:space="preserve">oanh thu để tính thu nhập chịu thuế trong một số trường hợp cụ thể được quy định trong các văn bản hướng dẫn của Bộ Tài chính. Các khoản thu được trừ ra khi xác </w:t>
      </w:r>
      <w:r w:rsidR="00AF1114" w:rsidRPr="00987F48">
        <w:rPr>
          <w:rFonts w:ascii="Times New Roman" w:eastAsia="Times New Roman" w:hAnsi="Times New Roman" w:cs="Times New Roman"/>
          <w:bCs/>
          <w:sz w:val="26"/>
          <w:szCs w:val="26"/>
        </w:rPr>
        <w:lastRenderedPageBreak/>
        <w:t>định thuế TNDN như tiền chuyển nhượng bất động sản, cổ tức được chia, các thu nhập khác đã tính thuế TNDN tại nguồn…</w:t>
      </w:r>
    </w:p>
    <w:p w14:paraId="36EE6C5D" w14:textId="1F79DFC8" w:rsidR="00B80627" w:rsidRPr="00987F48" w:rsidRDefault="00C8544B" w:rsidP="00B7470E">
      <w:pPr>
        <w:pStyle w:val="ListParagraph"/>
        <w:numPr>
          <w:ilvl w:val="1"/>
          <w:numId w:val="1"/>
        </w:numPr>
        <w:shd w:val="clear" w:color="auto" w:fill="FFFFFF"/>
        <w:spacing w:after="0" w:line="312" w:lineRule="auto"/>
        <w:ind w:left="0" w:firstLine="567"/>
        <w:jc w:val="both"/>
        <w:rPr>
          <w:rFonts w:ascii="Times New Roman" w:eastAsia="Times New Roman" w:hAnsi="Times New Roman" w:cs="Times New Roman"/>
          <w:b/>
          <w:bCs/>
          <w:sz w:val="26"/>
          <w:szCs w:val="26"/>
        </w:rPr>
      </w:pPr>
      <w:r w:rsidRPr="00987F48">
        <w:rPr>
          <w:rFonts w:ascii="Times New Roman" w:eastAsia="Times New Roman" w:hAnsi="Times New Roman" w:cs="Times New Roman"/>
          <w:b/>
          <w:bCs/>
          <w:sz w:val="26"/>
          <w:szCs w:val="26"/>
        </w:rPr>
        <w:t>K</w:t>
      </w:r>
      <w:r w:rsidR="00B80627" w:rsidRPr="00987F48">
        <w:rPr>
          <w:rFonts w:ascii="Times New Roman" w:eastAsia="Times New Roman" w:hAnsi="Times New Roman" w:cs="Times New Roman"/>
          <w:b/>
          <w:bCs/>
          <w:sz w:val="26"/>
          <w:szCs w:val="26"/>
        </w:rPr>
        <w:t>hác biệt trong ghi nhận chi phí giữa kế toán và thuế</w:t>
      </w:r>
    </w:p>
    <w:p w14:paraId="1646D8BD" w14:textId="26E22B51" w:rsidR="00053CDE" w:rsidRPr="00987F48" w:rsidRDefault="008D5140"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D</w:t>
      </w:r>
      <w:r w:rsidR="004C5EFC" w:rsidRPr="00987F48">
        <w:rPr>
          <w:rFonts w:ascii="Times New Roman" w:eastAsia="Times New Roman" w:hAnsi="Times New Roman" w:cs="Times New Roman"/>
          <w:sz w:val="26"/>
          <w:szCs w:val="26"/>
        </w:rPr>
        <w:t>o</w:t>
      </w:r>
      <w:r w:rsidR="00AF1114" w:rsidRPr="00987F48">
        <w:rPr>
          <w:rFonts w:ascii="Times New Roman" w:eastAsia="Times New Roman" w:hAnsi="Times New Roman" w:cs="Times New Roman"/>
          <w:sz w:val="26"/>
          <w:szCs w:val="26"/>
        </w:rPr>
        <w:t xml:space="preserve"> </w:t>
      </w:r>
      <w:r w:rsidR="00053CDE" w:rsidRPr="00987F48">
        <w:rPr>
          <w:rFonts w:ascii="Times New Roman" w:eastAsia="Times New Roman" w:hAnsi="Times New Roman" w:cs="Times New Roman"/>
          <w:sz w:val="26"/>
          <w:szCs w:val="26"/>
        </w:rPr>
        <w:t>một số điểm khác nhau trong ghi nhận chi phí giữa kế toán và thuế</w:t>
      </w:r>
      <w:r w:rsidR="00053CDE" w:rsidRPr="00987F48">
        <w:rPr>
          <w:rFonts w:ascii="Times New Roman" w:hAnsi="Times New Roman" w:cs="Times New Roman"/>
          <w:sz w:val="26"/>
          <w:szCs w:val="26"/>
        </w:rPr>
        <w:t>,</w:t>
      </w:r>
      <w:r w:rsidR="00053CDE" w:rsidRPr="00987F48">
        <w:rPr>
          <w:rFonts w:ascii="Times New Roman" w:eastAsia="Times New Roman" w:hAnsi="Times New Roman" w:cs="Times New Roman"/>
          <w:sz w:val="26"/>
          <w:szCs w:val="26"/>
        </w:rPr>
        <w:t xml:space="preserve"> các khoản chi phí không hợp lý theo</w:t>
      </w:r>
      <w:r w:rsidR="00AF1114" w:rsidRPr="00987F48">
        <w:rPr>
          <w:rFonts w:ascii="Times New Roman" w:eastAsia="Times New Roman" w:hAnsi="Times New Roman" w:cs="Times New Roman"/>
          <w:sz w:val="26"/>
          <w:szCs w:val="26"/>
        </w:rPr>
        <w:t xml:space="preserve"> luật</w:t>
      </w:r>
      <w:r w:rsidR="00053CDE" w:rsidRPr="00987F48">
        <w:rPr>
          <w:rFonts w:ascii="Times New Roman" w:eastAsia="Times New Roman" w:hAnsi="Times New Roman" w:cs="Times New Roman"/>
          <w:sz w:val="26"/>
          <w:szCs w:val="26"/>
        </w:rPr>
        <w:t xml:space="preserve"> thuế sẽ bị loại ra</w:t>
      </w:r>
      <w:r w:rsidR="00AF1114" w:rsidRPr="00987F48">
        <w:rPr>
          <w:rFonts w:ascii="Times New Roman" w:eastAsia="Times New Roman" w:hAnsi="Times New Roman" w:cs="Times New Roman"/>
          <w:sz w:val="26"/>
          <w:szCs w:val="26"/>
        </w:rPr>
        <w:t xml:space="preserve"> khi tính thuế TNDN</w:t>
      </w:r>
      <w:r w:rsidRPr="00987F48">
        <w:rPr>
          <w:rFonts w:ascii="Times New Roman" w:eastAsia="Times New Roman" w:hAnsi="Times New Roman" w:cs="Times New Roman"/>
          <w:sz w:val="26"/>
          <w:szCs w:val="26"/>
        </w:rPr>
        <w:t>, vì vậy, chi phí theo nguyên tắc kế toán thường cao hơn chi phí theo luật thuế</w:t>
      </w:r>
      <w:r w:rsidR="00AF1114" w:rsidRPr="00987F48">
        <w:rPr>
          <w:rFonts w:ascii="Times New Roman" w:eastAsia="Times New Roman" w:hAnsi="Times New Roman" w:cs="Times New Roman"/>
          <w:sz w:val="26"/>
          <w:szCs w:val="26"/>
        </w:rPr>
        <w:t xml:space="preserve">. </w:t>
      </w:r>
      <w:r w:rsidR="00FF5B72" w:rsidRPr="00987F48">
        <w:rPr>
          <w:rFonts w:ascii="Times New Roman" w:eastAsia="Times New Roman" w:hAnsi="Times New Roman" w:cs="Times New Roman"/>
          <w:sz w:val="26"/>
          <w:szCs w:val="26"/>
        </w:rPr>
        <w:t>Cá</w:t>
      </w:r>
      <w:r w:rsidR="00817CC5" w:rsidRPr="00987F48">
        <w:rPr>
          <w:rFonts w:ascii="Times New Roman" w:eastAsia="Times New Roman" w:hAnsi="Times New Roman" w:cs="Times New Roman"/>
          <w:sz w:val="26"/>
          <w:szCs w:val="26"/>
        </w:rPr>
        <w:t xml:space="preserve">c khoản chi được trừ là những khoản chi có liên quan đến hoạt động sản xuất kinh doanh của doanh nghiệp và có đầy đủ chứng từ, hóa đơn theo quy định. </w:t>
      </w:r>
      <w:r w:rsidR="00FF5B72" w:rsidRPr="00987F48">
        <w:rPr>
          <w:rFonts w:ascii="Times New Roman" w:eastAsia="Times New Roman" w:hAnsi="Times New Roman" w:cs="Times New Roman"/>
          <w:sz w:val="26"/>
          <w:szCs w:val="26"/>
        </w:rPr>
        <w:t>Theo chính sách thuế hiện hành, m</w:t>
      </w:r>
      <w:r w:rsidR="00B02C9E" w:rsidRPr="00987F48">
        <w:rPr>
          <w:rFonts w:ascii="Times New Roman" w:eastAsia="Times New Roman" w:hAnsi="Times New Roman" w:cs="Times New Roman"/>
          <w:sz w:val="26"/>
          <w:szCs w:val="26"/>
        </w:rPr>
        <w:t>ột số khoản chi không được trừ khi xác định thu nhập chịu thuế như:</w:t>
      </w:r>
    </w:p>
    <w:p w14:paraId="02E0C6E5" w14:textId="77777777" w:rsidR="00817CC5" w:rsidRPr="00987F48" w:rsidRDefault="00817CC5"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 Tiền đồng phục vượt quá 5 triệu đồng/người/năm.</w:t>
      </w:r>
    </w:p>
    <w:p w14:paraId="043AF466" w14:textId="77777777" w:rsidR="00817CC5" w:rsidRPr="00987F48" w:rsidRDefault="00817CC5"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  Về tiền phạt vi phạm hành chính (</w:t>
      </w:r>
      <w:r w:rsidRPr="00987F48">
        <w:rPr>
          <w:rStyle w:val="Strong"/>
          <w:rFonts w:ascii="Times New Roman" w:hAnsi="Times New Roman" w:cs="Times New Roman"/>
          <w:b w:val="0"/>
          <w:bCs w:val="0"/>
          <w:sz w:val="26"/>
          <w:szCs w:val="26"/>
        </w:rPr>
        <w:t>vi phạm luật giao thông, vi phạm chế độ đăng ký kinh doanh, vi phạm chế độ kế toán, vi phạm pháp luật về thuế)</w:t>
      </w:r>
      <w:r w:rsidRPr="00987F48">
        <w:rPr>
          <w:rFonts w:ascii="Times New Roman" w:eastAsia="Times New Roman" w:hAnsi="Times New Roman" w:cs="Times New Roman"/>
          <w:sz w:val="26"/>
          <w:szCs w:val="26"/>
        </w:rPr>
        <w:t>.</w:t>
      </w:r>
    </w:p>
    <w:p w14:paraId="64BE8FD1" w14:textId="77777777" w:rsidR="00817CC5" w:rsidRPr="00987F48" w:rsidRDefault="00817CC5"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Style w:val="Strong"/>
          <w:rFonts w:ascii="Times New Roman" w:hAnsi="Times New Roman" w:cs="Times New Roman"/>
          <w:b w:val="0"/>
          <w:bCs w:val="0"/>
          <w:sz w:val="26"/>
          <w:szCs w:val="26"/>
        </w:rPr>
        <w:t>- Chi phí tiền lương của chủ doanh nghiệp tư nhân, công ty trách nhiệm hữu hạn một thành viên.</w:t>
      </w:r>
    </w:p>
    <w:p w14:paraId="7DA021EC" w14:textId="5F6AFDF9" w:rsidR="00817CC5" w:rsidRPr="00987F48" w:rsidRDefault="006A7E31"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 C</w:t>
      </w:r>
      <w:r w:rsidR="00817CC5" w:rsidRPr="00987F48">
        <w:rPr>
          <w:rFonts w:ascii="Times New Roman" w:eastAsia="Times New Roman" w:hAnsi="Times New Roman" w:cs="Times New Roman"/>
          <w:sz w:val="26"/>
          <w:szCs w:val="26"/>
        </w:rPr>
        <w:t xml:space="preserve">hi phí không có hóa đơn </w:t>
      </w:r>
      <w:r w:rsidRPr="00987F48">
        <w:rPr>
          <w:rFonts w:ascii="Times New Roman" w:eastAsia="Times New Roman" w:hAnsi="Times New Roman" w:cs="Times New Roman"/>
          <w:sz w:val="26"/>
          <w:szCs w:val="26"/>
        </w:rPr>
        <w:t>hoặc chứng từ không hợp lệ</w:t>
      </w:r>
      <w:r w:rsidR="00817CC5" w:rsidRPr="00987F48">
        <w:rPr>
          <w:rFonts w:ascii="Times New Roman" w:eastAsia="Times New Roman" w:hAnsi="Times New Roman" w:cs="Times New Roman"/>
          <w:sz w:val="26"/>
          <w:szCs w:val="26"/>
        </w:rPr>
        <w:t>.</w:t>
      </w:r>
    </w:p>
    <w:p w14:paraId="03425B64" w14:textId="5E500F4F" w:rsidR="00817CC5" w:rsidRPr="00987F48" w:rsidRDefault="00817CC5"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 xml:space="preserve">- Chi phí lãi vay chưa đủ góp vốn điều lệ, </w:t>
      </w:r>
      <w:r w:rsidRPr="00987F48">
        <w:rPr>
          <w:rStyle w:val="Strong"/>
          <w:rFonts w:ascii="Times New Roman" w:hAnsi="Times New Roman" w:cs="Times New Roman"/>
          <w:b w:val="0"/>
          <w:bCs w:val="0"/>
          <w:sz w:val="26"/>
          <w:szCs w:val="26"/>
        </w:rPr>
        <w:t>chi phí lãi vay của đối tượng không phải là tổ chức tín dụng hoặc tổ chức kinh tế</w:t>
      </w:r>
      <w:r w:rsidRPr="00987F48">
        <w:rPr>
          <w:rFonts w:ascii="Times New Roman" w:eastAsia="Times New Roman" w:hAnsi="Times New Roman" w:cs="Times New Roman"/>
          <w:sz w:val="26"/>
          <w:szCs w:val="26"/>
        </w:rPr>
        <w:t xml:space="preserve"> (</w:t>
      </w:r>
      <w:r w:rsidRPr="00987F48">
        <w:rPr>
          <w:rFonts w:ascii="Times New Roman" w:hAnsi="Times New Roman" w:cs="Times New Roman"/>
          <w:sz w:val="26"/>
          <w:szCs w:val="26"/>
        </w:rPr>
        <w:t>Theo</w:t>
      </w:r>
      <w:r w:rsidR="00AB32EF" w:rsidRPr="00987F48">
        <w:rPr>
          <w:rFonts w:ascii="Times New Roman" w:hAnsi="Times New Roman" w:cs="Times New Roman"/>
          <w:sz w:val="26"/>
          <w:szCs w:val="26"/>
        </w:rPr>
        <w:t xml:space="preserve"> quy định của</w:t>
      </w:r>
      <w:r w:rsidRPr="00987F48">
        <w:rPr>
          <w:rFonts w:ascii="Times New Roman" w:hAnsi="Times New Roman" w:cs="Times New Roman"/>
          <w:sz w:val="26"/>
          <w:szCs w:val="26"/>
        </w:rPr>
        <w:t xml:space="preserve"> thuế chỉ được tính vào chi phí hợp lý phần chi phí lãi vay không vượt mức 150% lãi suất cơ bản do Ngân hàng nhà nước công bố tại thời điểm vay).</w:t>
      </w:r>
    </w:p>
    <w:p w14:paraId="23B8BA29" w14:textId="77777777" w:rsidR="00817CC5" w:rsidRPr="00987F48" w:rsidRDefault="00817CC5"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 Chi phí công tác phí vượt quá 2 lần theo quy định của thông tư 78/2014/TT-BTC.</w:t>
      </w:r>
    </w:p>
    <w:p w14:paraId="00CA7E88" w14:textId="77777777" w:rsidR="00817CC5" w:rsidRPr="00987F48" w:rsidRDefault="00817CC5"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 Chi phí tài trợ không theo quy định của TT78/2014/TT-BTC.</w:t>
      </w:r>
    </w:p>
    <w:p w14:paraId="7364E465" w14:textId="77777777" w:rsidR="00817CC5" w:rsidRPr="00987F48" w:rsidRDefault="00817CC5" w:rsidP="00B7470E">
      <w:pPr>
        <w:shd w:val="clear" w:color="auto" w:fill="FFFFFF"/>
        <w:spacing w:after="0" w:line="312"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sz w:val="26"/>
          <w:szCs w:val="26"/>
        </w:rPr>
        <w:t>- Tiền chi phí quảng cáo vượt mức khống chế 15% của chi phí được trừ.</w:t>
      </w:r>
    </w:p>
    <w:p w14:paraId="69EBE96D" w14:textId="0A8A9411" w:rsidR="003D71A5" w:rsidRPr="00987F48" w:rsidRDefault="00190D21" w:rsidP="00B7470E">
      <w:pPr>
        <w:spacing w:after="0" w:line="312" w:lineRule="auto"/>
        <w:ind w:firstLine="567"/>
        <w:jc w:val="both"/>
        <w:rPr>
          <w:rFonts w:ascii="Times New Roman" w:hAnsi="Times New Roman" w:cs="Times New Roman"/>
          <w:sz w:val="26"/>
          <w:szCs w:val="26"/>
        </w:rPr>
      </w:pPr>
      <w:r w:rsidRPr="00987F48">
        <w:rPr>
          <w:rFonts w:ascii="Times New Roman" w:eastAsia="Times New Roman" w:hAnsi="Times New Roman" w:cs="Times New Roman"/>
          <w:sz w:val="26"/>
          <w:szCs w:val="26"/>
        </w:rPr>
        <w:t xml:space="preserve">- </w:t>
      </w:r>
      <w:r w:rsidR="002F7CFF" w:rsidRPr="00987F48">
        <w:rPr>
          <w:rFonts w:ascii="Times New Roman" w:eastAsia="Times New Roman" w:hAnsi="Times New Roman" w:cs="Times New Roman"/>
          <w:sz w:val="26"/>
          <w:szCs w:val="26"/>
        </w:rPr>
        <w:t>Các khoản trích khấu hao</w:t>
      </w:r>
      <w:r w:rsidR="00AB32EF" w:rsidRPr="00987F48">
        <w:rPr>
          <w:rFonts w:ascii="Times New Roman" w:eastAsia="Times New Roman" w:hAnsi="Times New Roman" w:cs="Times New Roman"/>
          <w:sz w:val="26"/>
          <w:szCs w:val="26"/>
        </w:rPr>
        <w:t>, dự phòng</w:t>
      </w:r>
      <w:r w:rsidR="002F7CFF" w:rsidRPr="00987F48">
        <w:rPr>
          <w:rFonts w:ascii="Times New Roman" w:eastAsia="Times New Roman" w:hAnsi="Times New Roman" w:cs="Times New Roman"/>
          <w:sz w:val="26"/>
          <w:szCs w:val="26"/>
        </w:rPr>
        <w:t xml:space="preserve"> không đúng theo quy định của pháp luật</w:t>
      </w:r>
    </w:p>
    <w:p w14:paraId="6F3CD1DC" w14:textId="71BDE646" w:rsidR="00E62366" w:rsidRPr="00987F48" w:rsidRDefault="00190D21" w:rsidP="008E34EF">
      <w:pPr>
        <w:shd w:val="clear" w:color="auto" w:fill="FFFFFF"/>
        <w:spacing w:after="0" w:line="312" w:lineRule="auto"/>
        <w:ind w:firstLine="567"/>
        <w:jc w:val="both"/>
        <w:rPr>
          <w:rFonts w:ascii="Times New Roman" w:hAnsi="Times New Roman" w:cs="Times New Roman"/>
          <w:b/>
          <w:bCs/>
          <w:sz w:val="26"/>
          <w:szCs w:val="26"/>
        </w:rPr>
      </w:pPr>
      <w:r w:rsidRPr="00987F48">
        <w:rPr>
          <w:rFonts w:ascii="Times New Roman" w:eastAsia="Times New Roman" w:hAnsi="Times New Roman" w:cs="Times New Roman"/>
          <w:sz w:val="26"/>
          <w:szCs w:val="26"/>
        </w:rPr>
        <w:tab/>
      </w:r>
      <w:r w:rsidR="00E62366" w:rsidRPr="00987F48">
        <w:rPr>
          <w:rFonts w:ascii="Times New Roman" w:hAnsi="Times New Roman" w:cs="Times New Roman"/>
          <w:b/>
          <w:bCs/>
          <w:sz w:val="26"/>
          <w:szCs w:val="26"/>
        </w:rPr>
        <w:t>3.3. Minh họa ảnh hưởng của chênh lệch kế toán</w:t>
      </w:r>
      <w:r w:rsidR="00D863CB" w:rsidRPr="00987F48">
        <w:rPr>
          <w:rFonts w:ascii="Times New Roman" w:hAnsi="Times New Roman" w:cs="Times New Roman"/>
          <w:b/>
          <w:bCs/>
          <w:sz w:val="26"/>
          <w:szCs w:val="26"/>
        </w:rPr>
        <w:t xml:space="preserve"> </w:t>
      </w:r>
      <w:r w:rsidR="00E62366" w:rsidRPr="00987F48">
        <w:rPr>
          <w:rFonts w:ascii="Times New Roman" w:hAnsi="Times New Roman" w:cs="Times New Roman"/>
          <w:b/>
          <w:bCs/>
          <w:sz w:val="26"/>
          <w:szCs w:val="26"/>
        </w:rPr>
        <w:t>-</w:t>
      </w:r>
      <w:r w:rsidR="00D863CB" w:rsidRPr="00987F48">
        <w:rPr>
          <w:rFonts w:ascii="Times New Roman" w:hAnsi="Times New Roman" w:cs="Times New Roman"/>
          <w:b/>
          <w:bCs/>
          <w:sz w:val="26"/>
          <w:szCs w:val="26"/>
        </w:rPr>
        <w:t xml:space="preserve"> </w:t>
      </w:r>
      <w:r w:rsidR="00E62366" w:rsidRPr="00987F48">
        <w:rPr>
          <w:rFonts w:ascii="Times New Roman" w:hAnsi="Times New Roman" w:cs="Times New Roman"/>
          <w:b/>
          <w:bCs/>
          <w:sz w:val="26"/>
          <w:szCs w:val="26"/>
        </w:rPr>
        <w:t>thuế đến việc tính thuế thu nhập doanh nghiệp</w:t>
      </w:r>
    </w:p>
    <w:p w14:paraId="0E7989AB" w14:textId="71956829" w:rsidR="00C23D32" w:rsidRPr="00987F48" w:rsidRDefault="005607D5" w:rsidP="00B7470E">
      <w:pPr>
        <w:spacing w:after="0" w:line="312" w:lineRule="auto"/>
        <w:ind w:firstLine="567"/>
        <w:jc w:val="both"/>
        <w:rPr>
          <w:rFonts w:ascii="Times New Roman" w:hAnsi="Times New Roman" w:cs="Times New Roman"/>
          <w:sz w:val="26"/>
          <w:szCs w:val="26"/>
        </w:rPr>
      </w:pPr>
      <w:r w:rsidRPr="00987F48">
        <w:rPr>
          <w:rFonts w:ascii="Times New Roman" w:hAnsi="Times New Roman" w:cs="Times New Roman"/>
          <w:sz w:val="26"/>
          <w:szCs w:val="26"/>
        </w:rPr>
        <w:t xml:space="preserve">Ngày </w:t>
      </w:r>
      <w:r w:rsidR="00475674" w:rsidRPr="00987F48">
        <w:rPr>
          <w:rFonts w:ascii="Times New Roman" w:hAnsi="Times New Roman" w:cs="Times New Roman"/>
          <w:sz w:val="26"/>
          <w:szCs w:val="26"/>
        </w:rPr>
        <w:t>0</w:t>
      </w:r>
      <w:r w:rsidRPr="00987F48">
        <w:rPr>
          <w:rFonts w:ascii="Times New Roman" w:hAnsi="Times New Roman" w:cs="Times New Roman"/>
          <w:sz w:val="26"/>
          <w:szCs w:val="26"/>
        </w:rPr>
        <w:t>1.</w:t>
      </w:r>
      <w:r w:rsidR="00475674" w:rsidRPr="00987F48">
        <w:rPr>
          <w:rFonts w:ascii="Times New Roman" w:hAnsi="Times New Roman" w:cs="Times New Roman"/>
          <w:sz w:val="26"/>
          <w:szCs w:val="26"/>
        </w:rPr>
        <w:t>7</w:t>
      </w:r>
      <w:r w:rsidRPr="00987F48">
        <w:rPr>
          <w:rFonts w:ascii="Times New Roman" w:hAnsi="Times New Roman" w:cs="Times New Roman"/>
          <w:sz w:val="26"/>
          <w:szCs w:val="26"/>
        </w:rPr>
        <w:t>.N, công ty sử dụng</w:t>
      </w:r>
      <w:r w:rsidR="00364617" w:rsidRPr="00987F48">
        <w:rPr>
          <w:rFonts w:ascii="Times New Roman" w:hAnsi="Times New Roman" w:cs="Times New Roman"/>
          <w:sz w:val="26"/>
          <w:szCs w:val="26"/>
        </w:rPr>
        <w:t xml:space="preserve"> ở bộ phận quản lý doanh nghiệp một</w:t>
      </w:r>
      <w:r w:rsidRPr="00987F48">
        <w:rPr>
          <w:rFonts w:ascii="Times New Roman" w:hAnsi="Times New Roman" w:cs="Times New Roman"/>
          <w:sz w:val="26"/>
          <w:szCs w:val="26"/>
        </w:rPr>
        <w:t xml:space="preserve"> </w:t>
      </w:r>
      <w:r w:rsidR="007F216C" w:rsidRPr="00987F48">
        <w:rPr>
          <w:rFonts w:ascii="Times New Roman" w:hAnsi="Times New Roman" w:cs="Times New Roman"/>
          <w:sz w:val="26"/>
          <w:szCs w:val="26"/>
        </w:rPr>
        <w:t xml:space="preserve">số </w:t>
      </w:r>
      <w:r w:rsidRPr="00987F48">
        <w:rPr>
          <w:rFonts w:ascii="Times New Roman" w:hAnsi="Times New Roman" w:cs="Times New Roman"/>
          <w:sz w:val="26"/>
          <w:szCs w:val="26"/>
        </w:rPr>
        <w:t xml:space="preserve">công cụ dụng cụ </w:t>
      </w:r>
      <w:r w:rsidR="00364617" w:rsidRPr="00987F48">
        <w:rPr>
          <w:rFonts w:ascii="Times New Roman" w:hAnsi="Times New Roman" w:cs="Times New Roman"/>
          <w:sz w:val="26"/>
          <w:szCs w:val="26"/>
        </w:rPr>
        <w:t xml:space="preserve">có giá trị </w:t>
      </w:r>
      <w:r w:rsidR="008428D4" w:rsidRPr="00987F48">
        <w:rPr>
          <w:rFonts w:ascii="Times New Roman" w:hAnsi="Times New Roman" w:cs="Times New Roman"/>
          <w:sz w:val="26"/>
          <w:szCs w:val="26"/>
        </w:rPr>
        <w:t>6</w:t>
      </w:r>
      <w:r w:rsidR="00364617" w:rsidRPr="00987F48">
        <w:rPr>
          <w:rFonts w:ascii="Times New Roman" w:hAnsi="Times New Roman" w:cs="Times New Roman"/>
          <w:sz w:val="26"/>
          <w:szCs w:val="26"/>
        </w:rPr>
        <w:t xml:space="preserve">0 triệu, </w:t>
      </w:r>
      <w:r w:rsidR="000F7A1A" w:rsidRPr="00987F48">
        <w:rPr>
          <w:rFonts w:ascii="Times New Roman" w:hAnsi="Times New Roman" w:cs="Times New Roman"/>
          <w:sz w:val="26"/>
          <w:szCs w:val="26"/>
        </w:rPr>
        <w:t xml:space="preserve">công ty </w:t>
      </w:r>
      <w:r w:rsidR="00364617" w:rsidRPr="00987F48">
        <w:rPr>
          <w:rFonts w:ascii="Times New Roman" w:hAnsi="Times New Roman" w:cs="Times New Roman"/>
          <w:sz w:val="26"/>
          <w:szCs w:val="26"/>
        </w:rPr>
        <w:t xml:space="preserve">phân bổ vào chi phí 12 tháng, cơ quan thuế quy định phân bổ </w:t>
      </w:r>
      <w:r w:rsidR="00C23D32" w:rsidRPr="00987F48">
        <w:rPr>
          <w:rFonts w:ascii="Times New Roman" w:hAnsi="Times New Roman" w:cs="Times New Roman"/>
          <w:sz w:val="26"/>
          <w:szCs w:val="26"/>
        </w:rPr>
        <w:t xml:space="preserve">20 </w:t>
      </w:r>
      <w:r w:rsidR="00364617" w:rsidRPr="00987F48">
        <w:rPr>
          <w:rFonts w:ascii="Times New Roman" w:hAnsi="Times New Roman" w:cs="Times New Roman"/>
          <w:sz w:val="26"/>
          <w:szCs w:val="26"/>
        </w:rPr>
        <w:t>tháng</w:t>
      </w:r>
      <w:r w:rsidR="00A37ADC" w:rsidRPr="00987F48">
        <w:rPr>
          <w:rFonts w:ascii="Times New Roman" w:hAnsi="Times New Roman" w:cs="Times New Roman"/>
          <w:sz w:val="26"/>
          <w:szCs w:val="26"/>
        </w:rPr>
        <w:t>. Giả sử thuế suất thuế TNDN là 20%.</w:t>
      </w:r>
      <w:r w:rsidR="000F7A1A" w:rsidRPr="00987F48">
        <w:rPr>
          <w:rFonts w:ascii="Times New Roman" w:hAnsi="Times New Roman" w:cs="Times New Roman"/>
          <w:sz w:val="26"/>
          <w:szCs w:val="26"/>
        </w:rPr>
        <w:t xml:space="preserve"> Chênh lệch tạm thời được khấu trừ của công cụ, dụng cụ này là:</w:t>
      </w:r>
    </w:p>
    <w:p w14:paraId="09375EE1" w14:textId="7AF90617" w:rsidR="00A37ADC" w:rsidRPr="00987F48" w:rsidRDefault="00A37ADC" w:rsidP="00A37ADC">
      <w:pPr>
        <w:spacing w:after="0" w:line="360" w:lineRule="auto"/>
        <w:ind w:firstLine="720"/>
        <w:jc w:val="right"/>
        <w:rPr>
          <w:rFonts w:ascii="Times New Roman" w:hAnsi="Times New Roman" w:cs="Times New Roman"/>
          <w:sz w:val="26"/>
          <w:szCs w:val="26"/>
        </w:rPr>
      </w:pPr>
      <w:r w:rsidRPr="00987F48">
        <w:rPr>
          <w:rFonts w:ascii="Times New Roman" w:hAnsi="Times New Roman" w:cs="Times New Roman"/>
          <w:sz w:val="26"/>
          <w:szCs w:val="26"/>
        </w:rPr>
        <w:t>Đơn vị tính: 1.000.000đ</w:t>
      </w:r>
    </w:p>
    <w:tbl>
      <w:tblPr>
        <w:tblStyle w:val="TableGrid"/>
        <w:tblW w:w="9960" w:type="dxa"/>
        <w:tblInd w:w="-289" w:type="dxa"/>
        <w:tblLook w:val="04A0" w:firstRow="1" w:lastRow="0" w:firstColumn="1" w:lastColumn="0" w:noHBand="0" w:noVBand="1"/>
      </w:tblPr>
      <w:tblGrid>
        <w:gridCol w:w="4820"/>
        <w:gridCol w:w="1701"/>
        <w:gridCol w:w="1701"/>
        <w:gridCol w:w="1717"/>
        <w:gridCol w:w="21"/>
      </w:tblGrid>
      <w:tr w:rsidR="00987F48" w:rsidRPr="00772213" w14:paraId="63797F77" w14:textId="77777777" w:rsidTr="004A3415">
        <w:tc>
          <w:tcPr>
            <w:tcW w:w="4820" w:type="dxa"/>
            <w:vMerge w:val="restart"/>
            <w:vAlign w:val="center"/>
          </w:tcPr>
          <w:p w14:paraId="1C25793E" w14:textId="2AEFCBE2" w:rsidR="00A37402" w:rsidRPr="00772213" w:rsidRDefault="00A37402" w:rsidP="00A37ADC">
            <w:pPr>
              <w:spacing w:line="360" w:lineRule="auto"/>
              <w:jc w:val="center"/>
              <w:rPr>
                <w:rFonts w:ascii="Times New Roman" w:hAnsi="Times New Roman" w:cs="Times New Roman"/>
                <w:b/>
                <w:sz w:val="26"/>
                <w:szCs w:val="26"/>
              </w:rPr>
            </w:pPr>
            <w:r w:rsidRPr="00772213">
              <w:rPr>
                <w:rFonts w:ascii="Times New Roman" w:hAnsi="Times New Roman" w:cs="Times New Roman"/>
                <w:b/>
                <w:sz w:val="26"/>
                <w:szCs w:val="26"/>
              </w:rPr>
              <w:t>Chỉ tiêu</w:t>
            </w:r>
          </w:p>
        </w:tc>
        <w:tc>
          <w:tcPr>
            <w:tcW w:w="5140" w:type="dxa"/>
            <w:gridSpan w:val="4"/>
          </w:tcPr>
          <w:p w14:paraId="3D7C4540" w14:textId="66F7D333" w:rsidR="00A37402" w:rsidRPr="00772213" w:rsidRDefault="00A37402" w:rsidP="00C23D32">
            <w:pPr>
              <w:spacing w:line="360" w:lineRule="auto"/>
              <w:jc w:val="center"/>
              <w:rPr>
                <w:rFonts w:ascii="Times New Roman" w:hAnsi="Times New Roman" w:cs="Times New Roman"/>
                <w:b/>
                <w:sz w:val="26"/>
                <w:szCs w:val="26"/>
              </w:rPr>
            </w:pPr>
            <w:r w:rsidRPr="00772213">
              <w:rPr>
                <w:rFonts w:ascii="Times New Roman" w:hAnsi="Times New Roman" w:cs="Times New Roman"/>
                <w:b/>
                <w:sz w:val="26"/>
                <w:szCs w:val="26"/>
              </w:rPr>
              <w:t>Năm tài chính</w:t>
            </w:r>
          </w:p>
        </w:tc>
      </w:tr>
      <w:tr w:rsidR="00987F48" w:rsidRPr="00987F48" w14:paraId="0D092293" w14:textId="77777777" w:rsidTr="004A3415">
        <w:trPr>
          <w:gridAfter w:val="1"/>
          <w:wAfter w:w="21" w:type="dxa"/>
        </w:trPr>
        <w:tc>
          <w:tcPr>
            <w:tcW w:w="4820" w:type="dxa"/>
            <w:vMerge/>
          </w:tcPr>
          <w:p w14:paraId="471BE28E" w14:textId="77777777" w:rsidR="00A37402" w:rsidRPr="00987F48" w:rsidRDefault="00A37402" w:rsidP="00545729">
            <w:pPr>
              <w:spacing w:line="360" w:lineRule="auto"/>
              <w:jc w:val="both"/>
              <w:rPr>
                <w:rFonts w:ascii="Times New Roman" w:hAnsi="Times New Roman" w:cs="Times New Roman"/>
                <w:sz w:val="26"/>
                <w:szCs w:val="26"/>
              </w:rPr>
            </w:pPr>
          </w:p>
        </w:tc>
        <w:tc>
          <w:tcPr>
            <w:tcW w:w="1701" w:type="dxa"/>
          </w:tcPr>
          <w:p w14:paraId="13CF31C3" w14:textId="08F8C412" w:rsidR="00A37402" w:rsidRPr="00987F48" w:rsidRDefault="00A37ADC"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N (6 tháng)</w:t>
            </w:r>
          </w:p>
        </w:tc>
        <w:tc>
          <w:tcPr>
            <w:tcW w:w="1701" w:type="dxa"/>
          </w:tcPr>
          <w:p w14:paraId="0EB4C6F5" w14:textId="50618BA0" w:rsidR="00A37402" w:rsidRPr="00987F48" w:rsidRDefault="00A37ADC"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N+1</w:t>
            </w:r>
          </w:p>
        </w:tc>
        <w:tc>
          <w:tcPr>
            <w:tcW w:w="1717" w:type="dxa"/>
          </w:tcPr>
          <w:p w14:paraId="4841528F" w14:textId="765E69D0" w:rsidR="00A37402" w:rsidRPr="00987F48" w:rsidRDefault="00A37ADC"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N+2 (2 tháng)</w:t>
            </w:r>
          </w:p>
        </w:tc>
      </w:tr>
      <w:tr w:rsidR="00987F48" w:rsidRPr="00987F48" w14:paraId="48F61E5F" w14:textId="77777777" w:rsidTr="004A3415">
        <w:trPr>
          <w:gridAfter w:val="1"/>
          <w:wAfter w:w="21" w:type="dxa"/>
        </w:trPr>
        <w:tc>
          <w:tcPr>
            <w:tcW w:w="4820" w:type="dxa"/>
          </w:tcPr>
          <w:p w14:paraId="5A81D3F0" w14:textId="573D15D7" w:rsidR="00A37402" w:rsidRPr="00987F48" w:rsidRDefault="00A37ADC" w:rsidP="00545729">
            <w:pPr>
              <w:spacing w:line="360" w:lineRule="auto"/>
              <w:jc w:val="both"/>
              <w:rPr>
                <w:rFonts w:ascii="Times New Roman" w:hAnsi="Times New Roman" w:cs="Times New Roman"/>
                <w:sz w:val="26"/>
                <w:szCs w:val="26"/>
              </w:rPr>
            </w:pPr>
            <w:r w:rsidRPr="00987F48">
              <w:rPr>
                <w:rFonts w:ascii="Times New Roman" w:hAnsi="Times New Roman" w:cs="Times New Roman"/>
                <w:sz w:val="26"/>
                <w:szCs w:val="26"/>
              </w:rPr>
              <w:t>Chi phí phân bổ (theo kế toán)</w:t>
            </w:r>
          </w:p>
        </w:tc>
        <w:tc>
          <w:tcPr>
            <w:tcW w:w="1701" w:type="dxa"/>
          </w:tcPr>
          <w:p w14:paraId="41AC7900" w14:textId="693675C9" w:rsidR="00A37402"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(30)</w:t>
            </w:r>
          </w:p>
        </w:tc>
        <w:tc>
          <w:tcPr>
            <w:tcW w:w="1701" w:type="dxa"/>
          </w:tcPr>
          <w:p w14:paraId="10AAD489" w14:textId="5375C543" w:rsidR="00A37402"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(30)</w:t>
            </w:r>
          </w:p>
        </w:tc>
        <w:tc>
          <w:tcPr>
            <w:tcW w:w="1717" w:type="dxa"/>
          </w:tcPr>
          <w:p w14:paraId="04A855F4" w14:textId="77777777" w:rsidR="00A37402" w:rsidRPr="00987F48" w:rsidRDefault="00A37402" w:rsidP="004A3415">
            <w:pPr>
              <w:spacing w:line="360" w:lineRule="auto"/>
              <w:jc w:val="center"/>
              <w:rPr>
                <w:rFonts w:ascii="Times New Roman" w:hAnsi="Times New Roman" w:cs="Times New Roman"/>
                <w:sz w:val="26"/>
                <w:szCs w:val="26"/>
              </w:rPr>
            </w:pPr>
          </w:p>
        </w:tc>
      </w:tr>
      <w:tr w:rsidR="00987F48" w:rsidRPr="00987F48" w14:paraId="75DC6189" w14:textId="77777777" w:rsidTr="004A3415">
        <w:trPr>
          <w:gridAfter w:val="1"/>
          <w:wAfter w:w="21" w:type="dxa"/>
        </w:trPr>
        <w:tc>
          <w:tcPr>
            <w:tcW w:w="4820" w:type="dxa"/>
          </w:tcPr>
          <w:p w14:paraId="10EED434" w14:textId="1AD1F052" w:rsidR="004E3859" w:rsidRPr="00987F48" w:rsidRDefault="004E3859" w:rsidP="004E3859">
            <w:pPr>
              <w:spacing w:line="360" w:lineRule="auto"/>
              <w:jc w:val="both"/>
              <w:rPr>
                <w:rFonts w:ascii="Times New Roman" w:hAnsi="Times New Roman" w:cs="Times New Roman"/>
                <w:sz w:val="26"/>
                <w:szCs w:val="26"/>
              </w:rPr>
            </w:pPr>
            <w:r w:rsidRPr="00987F48">
              <w:rPr>
                <w:rFonts w:ascii="Times New Roman" w:hAnsi="Times New Roman" w:cs="Times New Roman"/>
                <w:sz w:val="26"/>
                <w:szCs w:val="26"/>
              </w:rPr>
              <w:t>Chi phí phân bổ (theo thuế)</w:t>
            </w:r>
          </w:p>
        </w:tc>
        <w:tc>
          <w:tcPr>
            <w:tcW w:w="1701" w:type="dxa"/>
          </w:tcPr>
          <w:p w14:paraId="354F7A46" w14:textId="6402E64C"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(18)</w:t>
            </w:r>
          </w:p>
        </w:tc>
        <w:tc>
          <w:tcPr>
            <w:tcW w:w="1701" w:type="dxa"/>
          </w:tcPr>
          <w:p w14:paraId="4512AFCA" w14:textId="0548F320"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(36)</w:t>
            </w:r>
          </w:p>
        </w:tc>
        <w:tc>
          <w:tcPr>
            <w:tcW w:w="1717" w:type="dxa"/>
          </w:tcPr>
          <w:p w14:paraId="78EEA27C" w14:textId="7C0BBC7D"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(6)</w:t>
            </w:r>
          </w:p>
        </w:tc>
      </w:tr>
      <w:tr w:rsidR="00987F48" w:rsidRPr="00987F48" w14:paraId="35BD4AD8" w14:textId="77777777" w:rsidTr="004A3415">
        <w:trPr>
          <w:gridAfter w:val="1"/>
          <w:wAfter w:w="21" w:type="dxa"/>
        </w:trPr>
        <w:tc>
          <w:tcPr>
            <w:tcW w:w="4820" w:type="dxa"/>
          </w:tcPr>
          <w:p w14:paraId="766CF2AA" w14:textId="2740FF69" w:rsidR="004E3859" w:rsidRPr="00987F48" w:rsidRDefault="004E3859" w:rsidP="004E3859">
            <w:pPr>
              <w:spacing w:line="360" w:lineRule="auto"/>
              <w:jc w:val="both"/>
              <w:rPr>
                <w:rFonts w:ascii="Times New Roman" w:hAnsi="Times New Roman" w:cs="Times New Roman"/>
                <w:sz w:val="26"/>
                <w:szCs w:val="26"/>
              </w:rPr>
            </w:pPr>
            <w:r w:rsidRPr="00987F48">
              <w:rPr>
                <w:rFonts w:ascii="Times New Roman" w:hAnsi="Times New Roman" w:cs="Times New Roman"/>
                <w:sz w:val="26"/>
                <w:szCs w:val="26"/>
              </w:rPr>
              <w:t>Chênh lệch tạm thời được khấu trừ tăng</w:t>
            </w:r>
          </w:p>
        </w:tc>
        <w:tc>
          <w:tcPr>
            <w:tcW w:w="1701" w:type="dxa"/>
          </w:tcPr>
          <w:p w14:paraId="4CA64CE2" w14:textId="7C143EF0"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12</w:t>
            </w:r>
          </w:p>
        </w:tc>
        <w:tc>
          <w:tcPr>
            <w:tcW w:w="1701" w:type="dxa"/>
          </w:tcPr>
          <w:p w14:paraId="22E04DF3" w14:textId="77777777" w:rsidR="004E3859" w:rsidRPr="00987F48" w:rsidRDefault="004E3859" w:rsidP="004A3415">
            <w:pPr>
              <w:spacing w:line="360" w:lineRule="auto"/>
              <w:jc w:val="center"/>
              <w:rPr>
                <w:rFonts w:ascii="Times New Roman" w:hAnsi="Times New Roman" w:cs="Times New Roman"/>
                <w:sz w:val="26"/>
                <w:szCs w:val="26"/>
              </w:rPr>
            </w:pPr>
          </w:p>
        </w:tc>
        <w:tc>
          <w:tcPr>
            <w:tcW w:w="1717" w:type="dxa"/>
          </w:tcPr>
          <w:p w14:paraId="121B2092" w14:textId="77777777" w:rsidR="004E3859" w:rsidRPr="00987F48" w:rsidRDefault="004E3859" w:rsidP="004A3415">
            <w:pPr>
              <w:spacing w:line="360" w:lineRule="auto"/>
              <w:jc w:val="center"/>
              <w:rPr>
                <w:rFonts w:ascii="Times New Roman" w:hAnsi="Times New Roman" w:cs="Times New Roman"/>
                <w:sz w:val="26"/>
                <w:szCs w:val="26"/>
              </w:rPr>
            </w:pPr>
          </w:p>
        </w:tc>
      </w:tr>
      <w:tr w:rsidR="00987F48" w:rsidRPr="00987F48" w14:paraId="09D7A0CE" w14:textId="77777777" w:rsidTr="004A3415">
        <w:trPr>
          <w:gridAfter w:val="1"/>
          <w:wAfter w:w="21" w:type="dxa"/>
        </w:trPr>
        <w:tc>
          <w:tcPr>
            <w:tcW w:w="4820" w:type="dxa"/>
          </w:tcPr>
          <w:p w14:paraId="235EC92C" w14:textId="30F3677A" w:rsidR="004E3859" w:rsidRPr="00987F48" w:rsidRDefault="004E3859" w:rsidP="004E3859">
            <w:pPr>
              <w:spacing w:line="360" w:lineRule="auto"/>
              <w:jc w:val="both"/>
              <w:rPr>
                <w:rFonts w:ascii="Times New Roman" w:hAnsi="Times New Roman" w:cs="Times New Roman"/>
                <w:sz w:val="26"/>
                <w:szCs w:val="26"/>
              </w:rPr>
            </w:pPr>
            <w:r w:rsidRPr="00987F48">
              <w:rPr>
                <w:rFonts w:ascii="Times New Roman" w:hAnsi="Times New Roman" w:cs="Times New Roman"/>
                <w:sz w:val="26"/>
                <w:szCs w:val="26"/>
              </w:rPr>
              <w:t>Chênh lệch tạm thời được khấu trừ giảm</w:t>
            </w:r>
          </w:p>
        </w:tc>
        <w:tc>
          <w:tcPr>
            <w:tcW w:w="1701" w:type="dxa"/>
          </w:tcPr>
          <w:p w14:paraId="06586345" w14:textId="77777777" w:rsidR="004E3859" w:rsidRPr="00987F48" w:rsidRDefault="004E3859" w:rsidP="004A3415">
            <w:pPr>
              <w:spacing w:line="360" w:lineRule="auto"/>
              <w:jc w:val="center"/>
              <w:rPr>
                <w:rFonts w:ascii="Times New Roman" w:hAnsi="Times New Roman" w:cs="Times New Roman"/>
                <w:sz w:val="26"/>
                <w:szCs w:val="26"/>
              </w:rPr>
            </w:pPr>
          </w:p>
        </w:tc>
        <w:tc>
          <w:tcPr>
            <w:tcW w:w="1701" w:type="dxa"/>
          </w:tcPr>
          <w:p w14:paraId="07E51015" w14:textId="1DDD425F"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(6)</w:t>
            </w:r>
          </w:p>
        </w:tc>
        <w:tc>
          <w:tcPr>
            <w:tcW w:w="1717" w:type="dxa"/>
          </w:tcPr>
          <w:p w14:paraId="79A6AA13" w14:textId="002A2697"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(6)</w:t>
            </w:r>
          </w:p>
        </w:tc>
      </w:tr>
      <w:tr w:rsidR="00987F48" w:rsidRPr="00987F48" w14:paraId="3F83B2CA" w14:textId="77777777" w:rsidTr="004A3415">
        <w:trPr>
          <w:gridAfter w:val="1"/>
          <w:wAfter w:w="21" w:type="dxa"/>
        </w:trPr>
        <w:tc>
          <w:tcPr>
            <w:tcW w:w="4820" w:type="dxa"/>
          </w:tcPr>
          <w:p w14:paraId="1C351543" w14:textId="6A7758D5" w:rsidR="004E3859" w:rsidRPr="00987F48" w:rsidRDefault="004E3859" w:rsidP="004E3859">
            <w:pPr>
              <w:spacing w:line="360" w:lineRule="auto"/>
              <w:jc w:val="both"/>
              <w:rPr>
                <w:rFonts w:ascii="Times New Roman" w:hAnsi="Times New Roman" w:cs="Times New Roman"/>
                <w:sz w:val="26"/>
                <w:szCs w:val="26"/>
              </w:rPr>
            </w:pPr>
            <w:r w:rsidRPr="00987F48">
              <w:rPr>
                <w:rFonts w:ascii="Times New Roman" w:hAnsi="Times New Roman" w:cs="Times New Roman"/>
                <w:sz w:val="26"/>
                <w:szCs w:val="26"/>
              </w:rPr>
              <w:t>Tài sản thuế TNDN hoãn lại được ghi nhận</w:t>
            </w:r>
          </w:p>
        </w:tc>
        <w:tc>
          <w:tcPr>
            <w:tcW w:w="1701" w:type="dxa"/>
          </w:tcPr>
          <w:p w14:paraId="3B7D6C87" w14:textId="009848E2"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2.4</w:t>
            </w:r>
          </w:p>
        </w:tc>
        <w:tc>
          <w:tcPr>
            <w:tcW w:w="1701" w:type="dxa"/>
          </w:tcPr>
          <w:p w14:paraId="55B951EE" w14:textId="77777777" w:rsidR="004E3859" w:rsidRPr="00987F48" w:rsidRDefault="004E3859" w:rsidP="004A3415">
            <w:pPr>
              <w:spacing w:line="360" w:lineRule="auto"/>
              <w:jc w:val="center"/>
              <w:rPr>
                <w:rFonts w:ascii="Times New Roman" w:hAnsi="Times New Roman" w:cs="Times New Roman"/>
                <w:sz w:val="26"/>
                <w:szCs w:val="26"/>
              </w:rPr>
            </w:pPr>
          </w:p>
        </w:tc>
        <w:tc>
          <w:tcPr>
            <w:tcW w:w="1717" w:type="dxa"/>
          </w:tcPr>
          <w:p w14:paraId="4188FDF7" w14:textId="77777777" w:rsidR="004E3859" w:rsidRPr="00987F48" w:rsidRDefault="004E3859" w:rsidP="004A3415">
            <w:pPr>
              <w:spacing w:line="360" w:lineRule="auto"/>
              <w:jc w:val="center"/>
              <w:rPr>
                <w:rFonts w:ascii="Times New Roman" w:hAnsi="Times New Roman" w:cs="Times New Roman"/>
                <w:sz w:val="26"/>
                <w:szCs w:val="26"/>
              </w:rPr>
            </w:pPr>
          </w:p>
        </w:tc>
      </w:tr>
      <w:tr w:rsidR="00987F48" w:rsidRPr="00987F48" w14:paraId="6757F8DF" w14:textId="77777777" w:rsidTr="004A3415">
        <w:trPr>
          <w:gridAfter w:val="1"/>
          <w:wAfter w:w="21" w:type="dxa"/>
        </w:trPr>
        <w:tc>
          <w:tcPr>
            <w:tcW w:w="4820" w:type="dxa"/>
          </w:tcPr>
          <w:p w14:paraId="0F6EFD7A" w14:textId="614745C7" w:rsidR="004E3859" w:rsidRPr="00987F48" w:rsidRDefault="004E3859" w:rsidP="004E3859">
            <w:pPr>
              <w:spacing w:line="360" w:lineRule="auto"/>
              <w:jc w:val="both"/>
              <w:rPr>
                <w:rFonts w:ascii="Times New Roman" w:hAnsi="Times New Roman" w:cs="Times New Roman"/>
                <w:sz w:val="26"/>
                <w:szCs w:val="26"/>
              </w:rPr>
            </w:pPr>
            <w:r w:rsidRPr="00987F48">
              <w:rPr>
                <w:rFonts w:ascii="Times New Roman" w:hAnsi="Times New Roman" w:cs="Times New Roman"/>
                <w:sz w:val="26"/>
                <w:szCs w:val="26"/>
              </w:rPr>
              <w:t>Tài sản thuế TNDN hoãn lại được hoàn nhập</w:t>
            </w:r>
          </w:p>
        </w:tc>
        <w:tc>
          <w:tcPr>
            <w:tcW w:w="1701" w:type="dxa"/>
          </w:tcPr>
          <w:p w14:paraId="2FFEECAA" w14:textId="77777777" w:rsidR="004E3859" w:rsidRPr="00987F48" w:rsidRDefault="004E3859" w:rsidP="004A3415">
            <w:pPr>
              <w:spacing w:line="360" w:lineRule="auto"/>
              <w:jc w:val="center"/>
              <w:rPr>
                <w:rFonts w:ascii="Times New Roman" w:hAnsi="Times New Roman" w:cs="Times New Roman"/>
                <w:sz w:val="26"/>
                <w:szCs w:val="26"/>
              </w:rPr>
            </w:pPr>
          </w:p>
        </w:tc>
        <w:tc>
          <w:tcPr>
            <w:tcW w:w="1701" w:type="dxa"/>
          </w:tcPr>
          <w:p w14:paraId="61CA0A33" w14:textId="3C62BA74"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1.2</w:t>
            </w:r>
          </w:p>
        </w:tc>
        <w:tc>
          <w:tcPr>
            <w:tcW w:w="1717" w:type="dxa"/>
          </w:tcPr>
          <w:p w14:paraId="1EF63B91" w14:textId="31E623F9" w:rsidR="004E3859" w:rsidRPr="00987F48" w:rsidRDefault="00CA72D9" w:rsidP="004A3415">
            <w:pPr>
              <w:spacing w:line="360" w:lineRule="auto"/>
              <w:jc w:val="center"/>
              <w:rPr>
                <w:rFonts w:ascii="Times New Roman" w:hAnsi="Times New Roman" w:cs="Times New Roman"/>
                <w:sz w:val="26"/>
                <w:szCs w:val="26"/>
              </w:rPr>
            </w:pPr>
            <w:r w:rsidRPr="00987F48">
              <w:rPr>
                <w:rFonts w:ascii="Times New Roman" w:hAnsi="Times New Roman" w:cs="Times New Roman"/>
                <w:sz w:val="26"/>
                <w:szCs w:val="26"/>
              </w:rPr>
              <w:t>1.2</w:t>
            </w:r>
          </w:p>
        </w:tc>
      </w:tr>
    </w:tbl>
    <w:p w14:paraId="65423500" w14:textId="33A9A707" w:rsidR="00483D77" w:rsidRPr="00987F48" w:rsidRDefault="00483D77" w:rsidP="00545729">
      <w:pPr>
        <w:spacing w:after="0" w:line="360" w:lineRule="auto"/>
        <w:ind w:firstLine="720"/>
        <w:jc w:val="both"/>
        <w:rPr>
          <w:rFonts w:ascii="Times New Roman" w:hAnsi="Times New Roman" w:cs="Times New Roman"/>
          <w:sz w:val="26"/>
          <w:szCs w:val="26"/>
        </w:rPr>
      </w:pPr>
    </w:p>
    <w:p w14:paraId="2C1C775F" w14:textId="18CEE625" w:rsidR="00F522CA" w:rsidRPr="00987F48" w:rsidRDefault="002A01DE" w:rsidP="00545729">
      <w:pPr>
        <w:spacing w:after="0" w:line="360" w:lineRule="auto"/>
        <w:ind w:firstLine="720"/>
        <w:jc w:val="both"/>
        <w:rPr>
          <w:rFonts w:ascii="Times New Roman" w:hAnsi="Times New Roman" w:cs="Times New Roman"/>
          <w:sz w:val="26"/>
          <w:szCs w:val="26"/>
        </w:rPr>
      </w:pPr>
      <w:r w:rsidRPr="00987F48">
        <w:rPr>
          <w:rFonts w:ascii="Times New Roman" w:hAnsi="Times New Roman" w:cs="Times New Roman"/>
          <w:i/>
          <w:iCs/>
          <w:sz w:val="26"/>
          <w:szCs w:val="26"/>
        </w:rPr>
        <w:t>Trong năm N, kế toán ghi nhận</w:t>
      </w:r>
      <w:r w:rsidRPr="00987F48">
        <w:rPr>
          <w:rFonts w:ascii="Times New Roman" w:hAnsi="Times New Roman" w:cs="Times New Roman"/>
          <w:sz w:val="26"/>
          <w:szCs w:val="26"/>
        </w:rPr>
        <w:t>:</w:t>
      </w:r>
    </w:p>
    <w:p w14:paraId="545FCC2B" w14:textId="3E45216B" w:rsidR="002A01DE" w:rsidRPr="00987F48" w:rsidRDefault="002A01DE" w:rsidP="00D01DA4">
      <w:pPr>
        <w:spacing w:after="0" w:line="312" w:lineRule="auto"/>
        <w:ind w:firstLine="720"/>
        <w:jc w:val="both"/>
        <w:rPr>
          <w:rFonts w:ascii="Times New Roman" w:hAnsi="Times New Roman" w:cs="Times New Roman"/>
          <w:sz w:val="26"/>
          <w:szCs w:val="26"/>
        </w:rPr>
      </w:pPr>
      <w:r w:rsidRPr="00987F48">
        <w:rPr>
          <w:rFonts w:ascii="Times New Roman" w:hAnsi="Times New Roman" w:cs="Times New Roman"/>
          <w:sz w:val="26"/>
          <w:szCs w:val="26"/>
        </w:rPr>
        <w:t>Nợ TK 8212           2.400.000</w:t>
      </w:r>
    </w:p>
    <w:p w14:paraId="7D1FEB2C" w14:textId="62E64C58" w:rsidR="002A01DE" w:rsidRPr="00987F48" w:rsidRDefault="002A01DE" w:rsidP="00D01DA4">
      <w:pPr>
        <w:spacing w:after="0" w:line="312" w:lineRule="auto"/>
        <w:ind w:firstLine="1276"/>
        <w:jc w:val="both"/>
        <w:rPr>
          <w:rFonts w:ascii="Times New Roman" w:hAnsi="Times New Roman" w:cs="Times New Roman"/>
          <w:sz w:val="26"/>
          <w:szCs w:val="26"/>
        </w:rPr>
      </w:pPr>
      <w:r w:rsidRPr="00987F48">
        <w:rPr>
          <w:rFonts w:ascii="Times New Roman" w:hAnsi="Times New Roman" w:cs="Times New Roman"/>
          <w:sz w:val="26"/>
          <w:szCs w:val="26"/>
        </w:rPr>
        <w:t>Có TK 347             2.400.000</w:t>
      </w:r>
    </w:p>
    <w:p w14:paraId="380BC401" w14:textId="0C2B4B5E" w:rsidR="002A01DE" w:rsidRPr="00987F48" w:rsidRDefault="002A01DE" w:rsidP="002A01DE">
      <w:pPr>
        <w:spacing w:after="0" w:line="360" w:lineRule="auto"/>
        <w:ind w:firstLine="709"/>
        <w:jc w:val="both"/>
        <w:rPr>
          <w:rFonts w:ascii="Times New Roman" w:hAnsi="Times New Roman" w:cs="Times New Roman"/>
          <w:sz w:val="26"/>
          <w:szCs w:val="26"/>
        </w:rPr>
      </w:pPr>
      <w:r w:rsidRPr="00987F48">
        <w:rPr>
          <w:rFonts w:ascii="Times New Roman" w:hAnsi="Times New Roman" w:cs="Times New Roman"/>
          <w:sz w:val="26"/>
          <w:szCs w:val="26"/>
        </w:rPr>
        <w:t xml:space="preserve">Kết chuyển: </w:t>
      </w:r>
    </w:p>
    <w:p w14:paraId="6820E7A3" w14:textId="189EC14E" w:rsidR="00030A23" w:rsidRPr="00987F48" w:rsidRDefault="00030A23" w:rsidP="00D01DA4">
      <w:pPr>
        <w:spacing w:after="0" w:line="312" w:lineRule="auto"/>
        <w:ind w:firstLine="720"/>
        <w:jc w:val="both"/>
        <w:rPr>
          <w:rFonts w:ascii="Times New Roman" w:hAnsi="Times New Roman" w:cs="Times New Roman"/>
          <w:sz w:val="26"/>
          <w:szCs w:val="26"/>
        </w:rPr>
      </w:pPr>
      <w:r w:rsidRPr="00987F48">
        <w:rPr>
          <w:rFonts w:ascii="Times New Roman" w:hAnsi="Times New Roman" w:cs="Times New Roman"/>
          <w:sz w:val="26"/>
          <w:szCs w:val="26"/>
        </w:rPr>
        <w:t>Nợ TK 911           2.400.000</w:t>
      </w:r>
    </w:p>
    <w:p w14:paraId="51635438" w14:textId="749CA760" w:rsidR="00030A23" w:rsidRPr="00987F48" w:rsidRDefault="00030A23" w:rsidP="00D01DA4">
      <w:pPr>
        <w:spacing w:after="0" w:line="312" w:lineRule="auto"/>
        <w:ind w:firstLine="1276"/>
        <w:jc w:val="both"/>
        <w:rPr>
          <w:rFonts w:ascii="Times New Roman" w:hAnsi="Times New Roman" w:cs="Times New Roman"/>
          <w:sz w:val="26"/>
          <w:szCs w:val="26"/>
        </w:rPr>
      </w:pPr>
      <w:r w:rsidRPr="00987F48">
        <w:rPr>
          <w:rFonts w:ascii="Times New Roman" w:hAnsi="Times New Roman" w:cs="Times New Roman"/>
          <w:sz w:val="26"/>
          <w:szCs w:val="26"/>
        </w:rPr>
        <w:t>Có TK 8212             2.400.000</w:t>
      </w:r>
    </w:p>
    <w:p w14:paraId="228D7386" w14:textId="6A3A96BC" w:rsidR="00030A23" w:rsidRPr="00987F48" w:rsidRDefault="00030A23" w:rsidP="00030A23">
      <w:pPr>
        <w:spacing w:after="0" w:line="360" w:lineRule="auto"/>
        <w:ind w:firstLine="720"/>
        <w:jc w:val="both"/>
        <w:rPr>
          <w:rFonts w:ascii="Times New Roman" w:hAnsi="Times New Roman" w:cs="Times New Roman"/>
          <w:i/>
          <w:iCs/>
          <w:sz w:val="26"/>
          <w:szCs w:val="26"/>
        </w:rPr>
      </w:pPr>
      <w:r w:rsidRPr="00987F48">
        <w:rPr>
          <w:rFonts w:ascii="Times New Roman" w:hAnsi="Times New Roman" w:cs="Times New Roman"/>
          <w:i/>
          <w:iCs/>
          <w:sz w:val="26"/>
          <w:szCs w:val="26"/>
        </w:rPr>
        <w:t>Trong năm N+1 và N+2, kế toán ghi nhận:</w:t>
      </w:r>
    </w:p>
    <w:p w14:paraId="27959AEC" w14:textId="404FF716" w:rsidR="00030A23" w:rsidRPr="00987F48" w:rsidRDefault="00030A23" w:rsidP="00D01DA4">
      <w:pPr>
        <w:spacing w:after="0" w:line="312" w:lineRule="auto"/>
        <w:ind w:firstLine="720"/>
        <w:jc w:val="both"/>
        <w:rPr>
          <w:rFonts w:ascii="Times New Roman" w:hAnsi="Times New Roman" w:cs="Times New Roman"/>
          <w:sz w:val="26"/>
          <w:szCs w:val="26"/>
        </w:rPr>
      </w:pPr>
      <w:r w:rsidRPr="00987F48">
        <w:rPr>
          <w:rFonts w:ascii="Times New Roman" w:hAnsi="Times New Roman" w:cs="Times New Roman"/>
          <w:sz w:val="26"/>
          <w:szCs w:val="26"/>
        </w:rPr>
        <w:t>Nợ TK 347          1.200.000</w:t>
      </w:r>
    </w:p>
    <w:p w14:paraId="31650EE6" w14:textId="105BD4BB" w:rsidR="00030A23" w:rsidRPr="00987F48" w:rsidRDefault="00030A23" w:rsidP="00D01DA4">
      <w:pPr>
        <w:spacing w:after="0" w:line="312" w:lineRule="auto"/>
        <w:ind w:firstLine="1276"/>
        <w:jc w:val="both"/>
        <w:rPr>
          <w:rFonts w:ascii="Times New Roman" w:hAnsi="Times New Roman" w:cs="Times New Roman"/>
          <w:sz w:val="26"/>
          <w:szCs w:val="26"/>
        </w:rPr>
      </w:pPr>
      <w:r w:rsidRPr="00987F48">
        <w:rPr>
          <w:rFonts w:ascii="Times New Roman" w:hAnsi="Times New Roman" w:cs="Times New Roman"/>
          <w:sz w:val="26"/>
          <w:szCs w:val="26"/>
        </w:rPr>
        <w:t>Có TK 8212             1.200.000</w:t>
      </w:r>
    </w:p>
    <w:p w14:paraId="0CF96C1E" w14:textId="77777777" w:rsidR="00030A23" w:rsidRPr="00987F48" w:rsidRDefault="00030A23" w:rsidP="00030A23">
      <w:pPr>
        <w:spacing w:after="0" w:line="360" w:lineRule="auto"/>
        <w:ind w:firstLine="709"/>
        <w:jc w:val="both"/>
        <w:rPr>
          <w:rFonts w:ascii="Times New Roman" w:hAnsi="Times New Roman" w:cs="Times New Roman"/>
          <w:sz w:val="26"/>
          <w:szCs w:val="26"/>
        </w:rPr>
      </w:pPr>
      <w:r w:rsidRPr="00987F48">
        <w:rPr>
          <w:rFonts w:ascii="Times New Roman" w:hAnsi="Times New Roman" w:cs="Times New Roman"/>
          <w:sz w:val="26"/>
          <w:szCs w:val="26"/>
        </w:rPr>
        <w:t xml:space="preserve">Kết chuyển: </w:t>
      </w:r>
    </w:p>
    <w:p w14:paraId="57B57737" w14:textId="73DFDB28" w:rsidR="00030A23" w:rsidRPr="00987F48" w:rsidRDefault="00030A23" w:rsidP="00D01DA4">
      <w:pPr>
        <w:spacing w:after="0" w:line="312" w:lineRule="auto"/>
        <w:ind w:firstLine="720"/>
        <w:jc w:val="both"/>
        <w:rPr>
          <w:rFonts w:ascii="Times New Roman" w:hAnsi="Times New Roman" w:cs="Times New Roman"/>
          <w:sz w:val="26"/>
          <w:szCs w:val="26"/>
        </w:rPr>
      </w:pPr>
      <w:r w:rsidRPr="00987F48">
        <w:rPr>
          <w:rFonts w:ascii="Times New Roman" w:hAnsi="Times New Roman" w:cs="Times New Roman"/>
          <w:sz w:val="26"/>
          <w:szCs w:val="26"/>
        </w:rPr>
        <w:t>Nợ TK 8212           1.200.000</w:t>
      </w:r>
    </w:p>
    <w:p w14:paraId="67AB5B49" w14:textId="50484AA1" w:rsidR="00030A23" w:rsidRDefault="00030A23" w:rsidP="00D01DA4">
      <w:pPr>
        <w:spacing w:after="0" w:line="312" w:lineRule="auto"/>
        <w:ind w:firstLine="1276"/>
        <w:jc w:val="both"/>
        <w:rPr>
          <w:rFonts w:ascii="Times New Roman" w:hAnsi="Times New Roman" w:cs="Times New Roman"/>
          <w:sz w:val="26"/>
          <w:szCs w:val="26"/>
        </w:rPr>
      </w:pPr>
      <w:r w:rsidRPr="00987F48">
        <w:rPr>
          <w:rFonts w:ascii="Times New Roman" w:hAnsi="Times New Roman" w:cs="Times New Roman"/>
          <w:sz w:val="26"/>
          <w:szCs w:val="26"/>
        </w:rPr>
        <w:t>Có TK 911            1.200.000</w:t>
      </w:r>
    </w:p>
    <w:p w14:paraId="0063E506" w14:textId="77777777" w:rsidR="00D01DA4" w:rsidRPr="00987F48" w:rsidRDefault="00D01DA4" w:rsidP="00D01DA4">
      <w:pPr>
        <w:spacing w:after="0" w:line="312" w:lineRule="auto"/>
        <w:ind w:firstLine="1276"/>
        <w:jc w:val="both"/>
        <w:rPr>
          <w:rFonts w:ascii="Times New Roman" w:hAnsi="Times New Roman" w:cs="Times New Roman"/>
          <w:sz w:val="26"/>
          <w:szCs w:val="26"/>
        </w:rPr>
      </w:pPr>
    </w:p>
    <w:p w14:paraId="753FF9D1" w14:textId="28BBC5E3" w:rsidR="00CC3BE1" w:rsidRPr="00987F48" w:rsidRDefault="00CC3BE1" w:rsidP="004A3415">
      <w:pPr>
        <w:spacing w:after="0" w:line="360" w:lineRule="auto"/>
        <w:ind w:firstLine="567"/>
        <w:jc w:val="both"/>
        <w:rPr>
          <w:rFonts w:ascii="Times New Roman" w:hAnsi="Times New Roman" w:cs="Times New Roman"/>
          <w:sz w:val="26"/>
          <w:szCs w:val="26"/>
        </w:rPr>
      </w:pPr>
      <w:r w:rsidRPr="00987F48">
        <w:rPr>
          <w:rFonts w:ascii="Times New Roman" w:hAnsi="Times New Roman" w:cs="Times New Roman"/>
          <w:sz w:val="26"/>
          <w:szCs w:val="26"/>
        </w:rPr>
        <w:t>Tóm lại</w:t>
      </w:r>
      <w:r w:rsidR="00364617" w:rsidRPr="00987F48">
        <w:rPr>
          <w:rFonts w:ascii="Times New Roman" w:hAnsi="Times New Roman" w:cs="Times New Roman"/>
          <w:sz w:val="26"/>
          <w:szCs w:val="26"/>
        </w:rPr>
        <w:t>,</w:t>
      </w:r>
      <w:r w:rsidRPr="00987F48">
        <w:rPr>
          <w:rFonts w:ascii="Times New Roman" w:hAnsi="Times New Roman" w:cs="Times New Roman"/>
          <w:sz w:val="26"/>
          <w:szCs w:val="26"/>
        </w:rPr>
        <w:t xml:space="preserve"> sự khác biệt trong ghi nhận doanh thu</w:t>
      </w:r>
      <w:r w:rsidR="00364617" w:rsidRPr="00987F48">
        <w:rPr>
          <w:rFonts w:ascii="Times New Roman" w:hAnsi="Times New Roman" w:cs="Times New Roman"/>
          <w:sz w:val="26"/>
          <w:szCs w:val="26"/>
        </w:rPr>
        <w:t xml:space="preserve">, </w:t>
      </w:r>
      <w:r w:rsidRPr="00987F48">
        <w:rPr>
          <w:rFonts w:ascii="Times New Roman" w:hAnsi="Times New Roman" w:cs="Times New Roman"/>
          <w:sz w:val="26"/>
          <w:szCs w:val="26"/>
        </w:rPr>
        <w:t xml:space="preserve">chi phí giữa kế toán và thuế sẽ làm phát sinh các khoản chênh lệch tạm thời và vĩnh viễn. </w:t>
      </w:r>
      <w:r w:rsidR="00364617" w:rsidRPr="00987F48">
        <w:rPr>
          <w:rFonts w:ascii="Times New Roman" w:hAnsi="Times New Roman" w:cs="Times New Roman"/>
          <w:sz w:val="26"/>
          <w:szCs w:val="26"/>
        </w:rPr>
        <w:t>Kế toán khi quyết toán</w:t>
      </w:r>
      <w:r w:rsidRPr="00987F48">
        <w:rPr>
          <w:rFonts w:ascii="Times New Roman" w:hAnsi="Times New Roman" w:cs="Times New Roman"/>
          <w:sz w:val="26"/>
          <w:szCs w:val="26"/>
        </w:rPr>
        <w:t xml:space="preserve"> thuế </w:t>
      </w:r>
      <w:r w:rsidR="00437D9A" w:rsidRPr="00987F48">
        <w:rPr>
          <w:rFonts w:ascii="Times New Roman" w:hAnsi="Times New Roman" w:cs="Times New Roman"/>
          <w:sz w:val="26"/>
          <w:szCs w:val="26"/>
        </w:rPr>
        <w:t xml:space="preserve">TNDN </w:t>
      </w:r>
      <w:r w:rsidRPr="00987F48">
        <w:rPr>
          <w:rFonts w:ascii="Times New Roman" w:hAnsi="Times New Roman" w:cs="Times New Roman"/>
          <w:sz w:val="26"/>
          <w:szCs w:val="26"/>
        </w:rPr>
        <w:t>cuối năm phải nhận diện</w:t>
      </w:r>
      <w:r w:rsidR="009C0D1A" w:rsidRPr="00987F48">
        <w:rPr>
          <w:rFonts w:ascii="Times New Roman" w:hAnsi="Times New Roman" w:cs="Times New Roman"/>
          <w:sz w:val="26"/>
          <w:szCs w:val="26"/>
        </w:rPr>
        <w:t>, theo dõi và tự hạch toán</w:t>
      </w:r>
      <w:r w:rsidRPr="00987F48">
        <w:rPr>
          <w:rFonts w:ascii="Times New Roman" w:hAnsi="Times New Roman" w:cs="Times New Roman"/>
          <w:sz w:val="26"/>
          <w:szCs w:val="26"/>
        </w:rPr>
        <w:t xml:space="preserve"> ra được những khoản chên</w:t>
      </w:r>
      <w:r w:rsidR="009C0D1A" w:rsidRPr="00987F48">
        <w:rPr>
          <w:rFonts w:ascii="Times New Roman" w:hAnsi="Times New Roman" w:cs="Times New Roman"/>
          <w:sz w:val="26"/>
          <w:szCs w:val="26"/>
        </w:rPr>
        <w:t>h</w:t>
      </w:r>
      <w:r w:rsidRPr="00987F48">
        <w:rPr>
          <w:rFonts w:ascii="Times New Roman" w:hAnsi="Times New Roman" w:cs="Times New Roman"/>
          <w:sz w:val="26"/>
          <w:szCs w:val="26"/>
        </w:rPr>
        <w:t xml:space="preserve"> lệch này</w:t>
      </w:r>
      <w:r w:rsidR="009C0D1A" w:rsidRPr="00987F48">
        <w:rPr>
          <w:rFonts w:ascii="Times New Roman" w:hAnsi="Times New Roman" w:cs="Times New Roman"/>
          <w:sz w:val="26"/>
          <w:szCs w:val="26"/>
        </w:rPr>
        <w:t>.</w:t>
      </w:r>
    </w:p>
    <w:p w14:paraId="50BD8C29" w14:textId="77777777" w:rsidR="001A3CEC" w:rsidRPr="00987F48" w:rsidRDefault="001A3CEC" w:rsidP="00545729">
      <w:pPr>
        <w:pStyle w:val="ListParagraph"/>
        <w:numPr>
          <w:ilvl w:val="0"/>
          <w:numId w:val="1"/>
        </w:numPr>
        <w:spacing w:after="0" w:line="360" w:lineRule="auto"/>
        <w:jc w:val="both"/>
        <w:rPr>
          <w:rFonts w:ascii="Times New Roman" w:hAnsi="Times New Roman" w:cs="Times New Roman"/>
          <w:b/>
          <w:sz w:val="26"/>
          <w:szCs w:val="26"/>
        </w:rPr>
      </w:pPr>
      <w:r w:rsidRPr="00987F48">
        <w:rPr>
          <w:rFonts w:ascii="Times New Roman" w:hAnsi="Times New Roman" w:cs="Times New Roman"/>
          <w:b/>
          <w:sz w:val="26"/>
          <w:szCs w:val="26"/>
        </w:rPr>
        <w:t>Lưu ý khi lập quyết toán thuế TNDN</w:t>
      </w:r>
    </w:p>
    <w:p w14:paraId="12B6D3B2" w14:textId="77777777" w:rsidR="001A3CEC" w:rsidRPr="00987F48" w:rsidRDefault="001A3CEC" w:rsidP="00545729">
      <w:pPr>
        <w:spacing w:after="0" w:line="360" w:lineRule="auto"/>
        <w:ind w:firstLine="567"/>
        <w:jc w:val="both"/>
        <w:rPr>
          <w:rFonts w:ascii="Times New Roman" w:hAnsi="Times New Roman" w:cs="Times New Roman"/>
          <w:b/>
          <w:sz w:val="26"/>
          <w:szCs w:val="26"/>
        </w:rPr>
      </w:pPr>
      <w:r w:rsidRPr="00987F48">
        <w:rPr>
          <w:rFonts w:ascii="Times New Roman" w:hAnsi="Times New Roman" w:cs="Times New Roman"/>
          <w:sz w:val="26"/>
          <w:szCs w:val="26"/>
          <w:shd w:val="clear" w:color="auto" w:fill="FFFFFF"/>
        </w:rPr>
        <w:t>Thuế TNDN có liên quan đến kết quả hoạt động kinh doanh của doanh nghiệp. Do đó, các hồ sơ, tài liệu khi lập quyết toán thuế TNDN gồm:</w:t>
      </w:r>
    </w:p>
    <w:p w14:paraId="0AE3FC21" w14:textId="7FE38856" w:rsidR="001A3CEC" w:rsidRPr="00987F48" w:rsidRDefault="001A3CEC" w:rsidP="00545729">
      <w:pPr>
        <w:pStyle w:val="para"/>
        <w:shd w:val="clear" w:color="auto" w:fill="FFFFFF"/>
        <w:spacing w:before="0" w:beforeAutospacing="0" w:after="0" w:afterAutospacing="0" w:line="360" w:lineRule="auto"/>
        <w:ind w:firstLine="567"/>
        <w:jc w:val="both"/>
        <w:rPr>
          <w:sz w:val="26"/>
          <w:szCs w:val="26"/>
        </w:rPr>
      </w:pPr>
      <w:r w:rsidRPr="00987F48">
        <w:rPr>
          <w:sz w:val="26"/>
          <w:szCs w:val="26"/>
        </w:rPr>
        <w:t xml:space="preserve">- Tờ khai thuế </w:t>
      </w:r>
    </w:p>
    <w:p w14:paraId="674C34C2" w14:textId="07AB183B" w:rsidR="001A3CEC" w:rsidRPr="00987F48" w:rsidRDefault="001A3CEC" w:rsidP="00545729">
      <w:pPr>
        <w:pStyle w:val="para"/>
        <w:shd w:val="clear" w:color="auto" w:fill="FFFFFF"/>
        <w:spacing w:before="0" w:beforeAutospacing="0" w:after="0" w:afterAutospacing="0" w:line="360" w:lineRule="auto"/>
        <w:ind w:firstLine="567"/>
        <w:jc w:val="both"/>
        <w:rPr>
          <w:sz w:val="26"/>
          <w:szCs w:val="26"/>
        </w:rPr>
      </w:pPr>
      <w:r w:rsidRPr="00987F48">
        <w:rPr>
          <w:sz w:val="26"/>
          <w:szCs w:val="26"/>
        </w:rPr>
        <w:t xml:space="preserve">- Biên bản quyết toán thuế </w:t>
      </w:r>
      <w:r w:rsidR="00D06C8C" w:rsidRPr="00987F48">
        <w:rPr>
          <w:sz w:val="26"/>
          <w:szCs w:val="26"/>
        </w:rPr>
        <w:t xml:space="preserve">của </w:t>
      </w:r>
      <w:r w:rsidRPr="00987F48">
        <w:rPr>
          <w:sz w:val="26"/>
          <w:szCs w:val="26"/>
        </w:rPr>
        <w:t>các năm trước</w:t>
      </w:r>
    </w:p>
    <w:p w14:paraId="7190EE36" w14:textId="77777777" w:rsidR="001A3CEC" w:rsidRPr="00987F48" w:rsidRDefault="001A3CEC" w:rsidP="00545729">
      <w:pPr>
        <w:pStyle w:val="para"/>
        <w:shd w:val="clear" w:color="auto" w:fill="FFFFFF"/>
        <w:spacing w:before="0" w:beforeAutospacing="0" w:after="0" w:afterAutospacing="0" w:line="360" w:lineRule="auto"/>
        <w:ind w:firstLine="567"/>
        <w:jc w:val="both"/>
        <w:rPr>
          <w:sz w:val="26"/>
          <w:szCs w:val="26"/>
        </w:rPr>
      </w:pPr>
      <w:r w:rsidRPr="00987F48">
        <w:rPr>
          <w:sz w:val="26"/>
          <w:szCs w:val="26"/>
        </w:rPr>
        <w:t>- Các văn bản về thuế TNDN áp dụng riêng đối với doanh nghiệp: quyết định về miễn thuế, giảm thuế, hoãn thuế…</w:t>
      </w:r>
    </w:p>
    <w:p w14:paraId="600F717F" w14:textId="77777777" w:rsidR="001A3CEC" w:rsidRPr="00987F48" w:rsidRDefault="001A3CEC" w:rsidP="00545729">
      <w:pPr>
        <w:pStyle w:val="para"/>
        <w:shd w:val="clear" w:color="auto" w:fill="FFFFFF"/>
        <w:spacing w:before="0" w:beforeAutospacing="0" w:after="0" w:afterAutospacing="0" w:line="360" w:lineRule="auto"/>
        <w:ind w:firstLine="567"/>
        <w:jc w:val="both"/>
        <w:rPr>
          <w:sz w:val="26"/>
          <w:szCs w:val="26"/>
        </w:rPr>
      </w:pPr>
      <w:r w:rsidRPr="00987F48">
        <w:rPr>
          <w:sz w:val="26"/>
          <w:szCs w:val="26"/>
        </w:rPr>
        <w:t>- Sổ chi tiết tài khoản 3334 (nếu có)</w:t>
      </w:r>
    </w:p>
    <w:p w14:paraId="4B81F3EC" w14:textId="77777777" w:rsidR="001A3CEC" w:rsidRPr="00987F48" w:rsidRDefault="001A3CEC" w:rsidP="00545729">
      <w:pPr>
        <w:pStyle w:val="para"/>
        <w:shd w:val="clear" w:color="auto" w:fill="FFFFFF"/>
        <w:spacing w:before="0" w:beforeAutospacing="0" w:after="0" w:afterAutospacing="0" w:line="360" w:lineRule="auto"/>
        <w:ind w:firstLine="567"/>
        <w:jc w:val="both"/>
        <w:rPr>
          <w:sz w:val="26"/>
          <w:szCs w:val="26"/>
        </w:rPr>
      </w:pPr>
      <w:r w:rsidRPr="00987F48">
        <w:rPr>
          <w:sz w:val="26"/>
          <w:szCs w:val="26"/>
        </w:rPr>
        <w:t>- Các tài liệu, chứng từ khác liên quan</w:t>
      </w:r>
    </w:p>
    <w:p w14:paraId="537775F5" w14:textId="764A7516" w:rsidR="001A3CEC" w:rsidRPr="00987F48" w:rsidRDefault="001A3CEC" w:rsidP="00545729">
      <w:pPr>
        <w:pStyle w:val="para"/>
        <w:shd w:val="clear" w:color="auto" w:fill="FFFFFF"/>
        <w:spacing w:before="0" w:beforeAutospacing="0" w:after="0" w:afterAutospacing="0" w:line="360" w:lineRule="auto"/>
        <w:ind w:firstLine="567"/>
        <w:jc w:val="both"/>
        <w:rPr>
          <w:sz w:val="26"/>
          <w:szCs w:val="26"/>
        </w:rPr>
      </w:pPr>
      <w:r w:rsidRPr="00987F48">
        <w:rPr>
          <w:sz w:val="26"/>
          <w:szCs w:val="26"/>
        </w:rPr>
        <w:t>Trong đó, kế toán cần phân biệt giữa lợi nhuận kế toán và thu nhập chịu thuế, biết cách xử lý các trường hợp xảy ra chênh lệch giữa kế toán và thuế. Chẳng hạn như khi xảy ra chênh lệch tạm thời giữa kế toán và thuế, nếu thu nhập chịu thuế lớn hơn (hay nhỏ hơn) lợi nhuận kế toán, không nên hoạch toán điều chỉnh các tài khoản liên quan đến doanh thu, chi phí mà các khoản chênh lệch này sẽ ghi nhận vào tài khoản Tài sản thuế thu nhập hoãn lại (243) hoặc tài khoản Thuế thu nhập hoãn lại phải trả (347)</w:t>
      </w:r>
      <w:r w:rsidR="00BA3730" w:rsidRPr="00987F48">
        <w:rPr>
          <w:sz w:val="26"/>
          <w:szCs w:val="26"/>
        </w:rPr>
        <w:t>.</w:t>
      </w:r>
    </w:p>
    <w:p w14:paraId="28F50DF3" w14:textId="046D6AB2" w:rsidR="001A3CEC" w:rsidRDefault="00D7737D" w:rsidP="00545729">
      <w:pPr>
        <w:pStyle w:val="ListParagraph"/>
        <w:spacing w:after="0" w:line="360" w:lineRule="auto"/>
        <w:ind w:left="0" w:firstLine="567"/>
        <w:jc w:val="both"/>
        <w:rPr>
          <w:rFonts w:ascii="Times New Roman" w:hAnsi="Times New Roman" w:cs="Times New Roman"/>
          <w:sz w:val="26"/>
          <w:szCs w:val="26"/>
          <w:shd w:val="clear" w:color="auto" w:fill="FFFFFF"/>
        </w:rPr>
      </w:pPr>
      <w:r w:rsidRPr="00987F48">
        <w:rPr>
          <w:rFonts w:ascii="Times New Roman" w:hAnsi="Times New Roman" w:cs="Times New Roman"/>
          <w:sz w:val="26"/>
          <w:szCs w:val="26"/>
          <w:shd w:val="clear" w:color="auto" w:fill="FFFFFF"/>
        </w:rPr>
        <w:t>Việc</w:t>
      </w:r>
      <w:r w:rsidR="001A3CEC" w:rsidRPr="00987F48">
        <w:rPr>
          <w:rFonts w:ascii="Times New Roman" w:hAnsi="Times New Roman" w:cs="Times New Roman"/>
          <w:sz w:val="26"/>
          <w:szCs w:val="26"/>
          <w:shd w:val="clear" w:color="auto" w:fill="FFFFFF"/>
        </w:rPr>
        <w:t xml:space="preserve"> nắm vững các nguyên tắc và quy định </w:t>
      </w:r>
      <w:r w:rsidRPr="00987F48">
        <w:rPr>
          <w:rFonts w:ascii="Times New Roman" w:hAnsi="Times New Roman" w:cs="Times New Roman"/>
          <w:sz w:val="26"/>
          <w:szCs w:val="26"/>
          <w:shd w:val="clear" w:color="auto" w:fill="FFFFFF"/>
        </w:rPr>
        <w:t>giúp kế toán viên</w:t>
      </w:r>
      <w:r w:rsidR="001A3CEC" w:rsidRPr="00987F48">
        <w:rPr>
          <w:rFonts w:ascii="Times New Roman" w:hAnsi="Times New Roman" w:cs="Times New Roman"/>
          <w:sz w:val="26"/>
          <w:szCs w:val="26"/>
          <w:shd w:val="clear" w:color="auto" w:fill="FFFFFF"/>
        </w:rPr>
        <w:t xml:space="preserve"> xác định đúng số thuế TNDN cần nộp</w:t>
      </w:r>
      <w:r w:rsidRPr="00987F48">
        <w:rPr>
          <w:rFonts w:ascii="Times New Roman" w:hAnsi="Times New Roman" w:cs="Times New Roman"/>
          <w:sz w:val="26"/>
          <w:szCs w:val="26"/>
          <w:shd w:val="clear" w:color="auto" w:fill="FFFFFF"/>
        </w:rPr>
        <w:t>,</w:t>
      </w:r>
      <w:r w:rsidR="001A3CEC" w:rsidRPr="00987F48">
        <w:rPr>
          <w:rFonts w:ascii="Times New Roman" w:hAnsi="Times New Roman" w:cs="Times New Roman"/>
          <w:sz w:val="26"/>
          <w:szCs w:val="26"/>
          <w:shd w:val="clear" w:color="auto" w:fill="FFFFFF"/>
        </w:rPr>
        <w:t xml:space="preserve"> </w:t>
      </w:r>
      <w:r w:rsidRPr="00987F48">
        <w:rPr>
          <w:rFonts w:ascii="Times New Roman" w:hAnsi="Times New Roman" w:cs="Times New Roman"/>
          <w:sz w:val="26"/>
          <w:szCs w:val="26"/>
          <w:shd w:val="clear" w:color="auto" w:fill="FFFFFF"/>
        </w:rPr>
        <w:t>hỗ trợ</w:t>
      </w:r>
      <w:r w:rsidR="001A3CEC" w:rsidRPr="00987F48">
        <w:rPr>
          <w:rFonts w:ascii="Times New Roman" w:hAnsi="Times New Roman" w:cs="Times New Roman"/>
          <w:sz w:val="26"/>
          <w:szCs w:val="26"/>
          <w:shd w:val="clear" w:color="auto" w:fill="FFFFFF"/>
        </w:rPr>
        <w:t xml:space="preserve"> công tác quyết toán thuế TNDN thuận lợi, hạn chế sai những sai sót không đáng có,</w:t>
      </w:r>
      <w:r w:rsidRPr="00987F48">
        <w:rPr>
          <w:rFonts w:ascii="Times New Roman" w:hAnsi="Times New Roman" w:cs="Times New Roman"/>
          <w:sz w:val="26"/>
          <w:szCs w:val="26"/>
          <w:shd w:val="clear" w:color="auto" w:fill="FFFFFF"/>
        </w:rPr>
        <w:t xml:space="preserve"> và</w:t>
      </w:r>
      <w:r w:rsidR="001A3CEC" w:rsidRPr="00987F48">
        <w:rPr>
          <w:rFonts w:ascii="Times New Roman" w:hAnsi="Times New Roman" w:cs="Times New Roman"/>
          <w:sz w:val="26"/>
          <w:szCs w:val="26"/>
          <w:shd w:val="clear" w:color="auto" w:fill="FFFFFF"/>
        </w:rPr>
        <w:t xml:space="preserve"> giúp doanh nghiệp tránh được việc truy thu thuế TNDN hoặ</w:t>
      </w:r>
      <w:r w:rsidR="00936056" w:rsidRPr="00987F48">
        <w:rPr>
          <w:rFonts w:ascii="Times New Roman" w:hAnsi="Times New Roman" w:cs="Times New Roman"/>
          <w:sz w:val="26"/>
          <w:szCs w:val="26"/>
          <w:shd w:val="clear" w:color="auto" w:fill="FFFFFF"/>
        </w:rPr>
        <w:t xml:space="preserve">c </w:t>
      </w:r>
      <w:r w:rsidR="001A3CEC" w:rsidRPr="00987F48">
        <w:rPr>
          <w:rFonts w:ascii="Times New Roman" w:hAnsi="Times New Roman" w:cs="Times New Roman"/>
          <w:sz w:val="26"/>
          <w:szCs w:val="26"/>
          <w:shd w:val="clear" w:color="auto" w:fill="FFFFFF"/>
        </w:rPr>
        <w:t>bị xử phạt do vi phạm chính sách, chế độ về luật thuế.   </w:t>
      </w:r>
    </w:p>
    <w:p w14:paraId="5C24E3DD" w14:textId="77777777" w:rsidR="001A3CEC" w:rsidRPr="00987F48" w:rsidRDefault="001A3CEC" w:rsidP="00545729">
      <w:pPr>
        <w:pStyle w:val="ListParagraph"/>
        <w:numPr>
          <w:ilvl w:val="0"/>
          <w:numId w:val="1"/>
        </w:numPr>
        <w:tabs>
          <w:tab w:val="left" w:pos="993"/>
        </w:tabs>
        <w:spacing w:after="0" w:line="360" w:lineRule="auto"/>
        <w:ind w:left="0" w:firstLine="567"/>
        <w:jc w:val="both"/>
        <w:rPr>
          <w:rFonts w:ascii="Times New Roman" w:hAnsi="Times New Roman" w:cs="Times New Roman"/>
          <w:b/>
          <w:sz w:val="26"/>
          <w:szCs w:val="26"/>
        </w:rPr>
      </w:pPr>
      <w:r w:rsidRPr="00987F48">
        <w:rPr>
          <w:rFonts w:ascii="Times New Roman" w:hAnsi="Times New Roman" w:cs="Times New Roman"/>
          <w:b/>
          <w:sz w:val="26"/>
          <w:szCs w:val="26"/>
        </w:rPr>
        <w:t>Thủ tục kiểm toán thuế TNDN</w:t>
      </w:r>
    </w:p>
    <w:p w14:paraId="19D37F41" w14:textId="0394EA83" w:rsidR="00233FCC" w:rsidRDefault="00233FCC" w:rsidP="00545729">
      <w:pPr>
        <w:pStyle w:val="ListParagraph"/>
        <w:spacing w:after="0" w:line="360" w:lineRule="auto"/>
        <w:ind w:left="0" w:firstLine="567"/>
        <w:jc w:val="both"/>
        <w:rPr>
          <w:rFonts w:ascii="Times New Roman" w:hAnsi="Times New Roman" w:cs="Times New Roman"/>
          <w:bCs/>
          <w:sz w:val="26"/>
          <w:szCs w:val="26"/>
        </w:rPr>
      </w:pPr>
      <w:r w:rsidRPr="00987F48">
        <w:rPr>
          <w:rFonts w:ascii="Times New Roman" w:hAnsi="Times New Roman" w:cs="Times New Roman"/>
          <w:bCs/>
          <w:sz w:val="26"/>
          <w:szCs w:val="26"/>
        </w:rPr>
        <w:t xml:space="preserve">Thuế TNDN </w:t>
      </w:r>
      <w:r w:rsidR="00BA3730" w:rsidRPr="00987F48">
        <w:rPr>
          <w:rFonts w:ascii="Times New Roman" w:hAnsi="Times New Roman" w:cs="Times New Roman"/>
          <w:bCs/>
          <w:sz w:val="26"/>
          <w:szCs w:val="26"/>
        </w:rPr>
        <w:t>giữ vai trò quan trọng trong việc đảm bảo ngân sách nhà nước và là công cụ điều tiết thu nhập của chính phủ. Do đó, thuế TNDN ngày càng nhận được sự quan tâm của doanh nghiệp, của cơ quan thuế</w:t>
      </w:r>
      <w:r w:rsidR="00CC084C" w:rsidRPr="00987F48">
        <w:rPr>
          <w:rFonts w:ascii="Times New Roman" w:hAnsi="Times New Roman" w:cs="Times New Roman"/>
          <w:bCs/>
          <w:sz w:val="26"/>
          <w:szCs w:val="26"/>
        </w:rPr>
        <w:t xml:space="preserve"> và cá</w:t>
      </w:r>
      <w:r w:rsidR="00BA3730" w:rsidRPr="00987F48">
        <w:rPr>
          <w:rFonts w:ascii="Times New Roman" w:hAnsi="Times New Roman" w:cs="Times New Roman"/>
          <w:bCs/>
          <w:sz w:val="26"/>
          <w:szCs w:val="26"/>
        </w:rPr>
        <w:t xml:space="preserve">c bên liên quan. Các thủ tục kiểm toán thuế TNDN  cần </w:t>
      </w:r>
      <w:r w:rsidR="003F599B" w:rsidRPr="00987F48">
        <w:rPr>
          <w:rFonts w:ascii="Times New Roman" w:hAnsi="Times New Roman" w:cs="Times New Roman"/>
          <w:bCs/>
          <w:sz w:val="26"/>
          <w:szCs w:val="26"/>
        </w:rPr>
        <w:t>chú ý các vấn đề sau:</w:t>
      </w:r>
    </w:p>
    <w:p w14:paraId="0E468528" w14:textId="305A78A8" w:rsidR="001A3CEC" w:rsidRPr="00987F48" w:rsidRDefault="001A3CEC" w:rsidP="00545729">
      <w:pPr>
        <w:pStyle w:val="ListParagraph"/>
        <w:spacing w:after="0" w:line="360" w:lineRule="auto"/>
        <w:ind w:left="0" w:firstLine="567"/>
        <w:jc w:val="both"/>
        <w:rPr>
          <w:rFonts w:ascii="Times New Roman" w:hAnsi="Times New Roman" w:cs="Times New Roman"/>
          <w:sz w:val="26"/>
          <w:szCs w:val="26"/>
        </w:rPr>
      </w:pPr>
      <w:r w:rsidRPr="00987F48">
        <w:rPr>
          <w:rFonts w:ascii="Times New Roman" w:hAnsi="Times New Roman" w:cs="Times New Roman"/>
          <w:b/>
          <w:sz w:val="26"/>
          <w:szCs w:val="26"/>
        </w:rPr>
        <w:t>Thu thập thông tin ban đầu</w:t>
      </w:r>
    </w:p>
    <w:p w14:paraId="426F0A46" w14:textId="36B84AC0" w:rsidR="001A3CEC" w:rsidRPr="00987F48" w:rsidRDefault="001A3CEC" w:rsidP="00545729">
      <w:pPr>
        <w:pStyle w:val="ListParagraph"/>
        <w:spacing w:after="0" w:line="360" w:lineRule="auto"/>
        <w:ind w:left="0" w:firstLine="567"/>
        <w:jc w:val="both"/>
        <w:rPr>
          <w:rFonts w:ascii="Times New Roman" w:hAnsi="Times New Roman" w:cs="Times New Roman"/>
          <w:sz w:val="26"/>
          <w:szCs w:val="26"/>
        </w:rPr>
      </w:pPr>
      <w:r w:rsidRPr="00987F48">
        <w:rPr>
          <w:rFonts w:ascii="Times New Roman" w:hAnsi="Times New Roman" w:cs="Times New Roman"/>
          <w:sz w:val="26"/>
          <w:szCs w:val="26"/>
        </w:rPr>
        <w:t>Để có những hiểu biết ban đầu về khách hàng</w:t>
      </w:r>
      <w:r w:rsidR="005E73B4" w:rsidRPr="00987F48">
        <w:rPr>
          <w:rFonts w:ascii="Times New Roman" w:hAnsi="Times New Roman" w:cs="Times New Roman"/>
          <w:sz w:val="26"/>
          <w:szCs w:val="26"/>
        </w:rPr>
        <w:t xml:space="preserve"> và</w:t>
      </w:r>
      <w:r w:rsidRPr="00987F48">
        <w:rPr>
          <w:rFonts w:ascii="Times New Roman" w:hAnsi="Times New Roman" w:cs="Times New Roman"/>
          <w:sz w:val="26"/>
          <w:szCs w:val="26"/>
        </w:rPr>
        <w:t xml:space="preserve"> xác định mức trọng yếu và rủi ro, kiểm toán viên cần thu thập những thông tin như lĩnh vực kinh doanh, hệ thống kế toán, hệ thống kiểm soát nội bộ và chính sách thuế </w:t>
      </w:r>
      <w:r w:rsidR="00437D9A" w:rsidRPr="00987F48">
        <w:rPr>
          <w:rFonts w:ascii="Times New Roman" w:hAnsi="Times New Roman" w:cs="Times New Roman"/>
          <w:sz w:val="26"/>
          <w:szCs w:val="26"/>
        </w:rPr>
        <w:t>TNDN</w:t>
      </w:r>
      <w:r w:rsidRPr="00987F48">
        <w:rPr>
          <w:rFonts w:ascii="Times New Roman" w:hAnsi="Times New Roman" w:cs="Times New Roman"/>
          <w:sz w:val="26"/>
          <w:szCs w:val="26"/>
        </w:rPr>
        <w:t xml:space="preserve"> </w:t>
      </w:r>
      <w:r w:rsidR="00944965" w:rsidRPr="00987F48">
        <w:rPr>
          <w:rFonts w:ascii="Times New Roman" w:hAnsi="Times New Roman" w:cs="Times New Roman"/>
          <w:sz w:val="26"/>
          <w:szCs w:val="26"/>
        </w:rPr>
        <w:t>mà doanh nghi</w:t>
      </w:r>
      <w:r w:rsidR="00986087" w:rsidRPr="00987F48">
        <w:rPr>
          <w:rFonts w:ascii="Times New Roman" w:hAnsi="Times New Roman" w:cs="Times New Roman"/>
          <w:sz w:val="26"/>
          <w:szCs w:val="26"/>
        </w:rPr>
        <w:t xml:space="preserve">ệp </w:t>
      </w:r>
      <w:r w:rsidRPr="00987F48">
        <w:rPr>
          <w:rFonts w:ascii="Times New Roman" w:hAnsi="Times New Roman" w:cs="Times New Roman"/>
          <w:sz w:val="26"/>
          <w:szCs w:val="26"/>
        </w:rPr>
        <w:t xml:space="preserve">đang áp dụng. Đồng thời, xem xét báo cáo kiểm toán, </w:t>
      </w:r>
      <w:r w:rsidR="000F6B62" w:rsidRPr="00987F48">
        <w:rPr>
          <w:rFonts w:ascii="Times New Roman" w:hAnsi="Times New Roman" w:cs="Times New Roman"/>
          <w:sz w:val="26"/>
          <w:szCs w:val="26"/>
        </w:rPr>
        <w:t xml:space="preserve">các kết luận </w:t>
      </w:r>
      <w:r w:rsidRPr="00987F48">
        <w:rPr>
          <w:rFonts w:ascii="Times New Roman" w:hAnsi="Times New Roman" w:cs="Times New Roman"/>
          <w:sz w:val="26"/>
          <w:szCs w:val="26"/>
        </w:rPr>
        <w:t xml:space="preserve">thanh tra - kiểm tra </w:t>
      </w:r>
      <w:r w:rsidR="000F6B62" w:rsidRPr="00987F48">
        <w:rPr>
          <w:rFonts w:ascii="Times New Roman" w:hAnsi="Times New Roman" w:cs="Times New Roman"/>
          <w:sz w:val="26"/>
          <w:szCs w:val="26"/>
        </w:rPr>
        <w:t xml:space="preserve">về thuế TNDN </w:t>
      </w:r>
      <w:r w:rsidRPr="00987F48">
        <w:rPr>
          <w:rFonts w:ascii="Times New Roman" w:hAnsi="Times New Roman" w:cs="Times New Roman"/>
          <w:sz w:val="26"/>
          <w:szCs w:val="26"/>
        </w:rPr>
        <w:t>của năm hiện hành hay trong các năm trước.</w:t>
      </w:r>
    </w:p>
    <w:p w14:paraId="38EA08DB" w14:textId="77777777" w:rsidR="001A3CEC" w:rsidRPr="00987F48" w:rsidRDefault="001A3CEC" w:rsidP="00545729">
      <w:pPr>
        <w:pStyle w:val="ListParagraph"/>
        <w:spacing w:after="0" w:line="360" w:lineRule="auto"/>
        <w:ind w:left="0" w:firstLine="567"/>
        <w:jc w:val="both"/>
        <w:rPr>
          <w:rFonts w:ascii="Times New Roman" w:hAnsi="Times New Roman" w:cs="Times New Roman"/>
          <w:b/>
          <w:sz w:val="26"/>
          <w:szCs w:val="26"/>
        </w:rPr>
      </w:pPr>
      <w:r w:rsidRPr="00987F48">
        <w:rPr>
          <w:rFonts w:ascii="Times New Roman" w:hAnsi="Times New Roman" w:cs="Times New Roman"/>
          <w:b/>
          <w:sz w:val="26"/>
          <w:szCs w:val="26"/>
        </w:rPr>
        <w:t>Thực hiện các thử nghiệm cơ bản</w:t>
      </w:r>
    </w:p>
    <w:p w14:paraId="7F80D641" w14:textId="77777777" w:rsidR="006D6074" w:rsidRPr="00987F48" w:rsidRDefault="001A3CEC" w:rsidP="00545729">
      <w:pPr>
        <w:spacing w:after="0" w:line="360" w:lineRule="auto"/>
        <w:ind w:firstLine="567"/>
        <w:jc w:val="both"/>
        <w:rPr>
          <w:rFonts w:ascii="Times New Roman" w:eastAsia="Times New Roman" w:hAnsi="Times New Roman" w:cs="Times New Roman"/>
          <w:b/>
          <w:bCs/>
          <w:i/>
          <w:sz w:val="26"/>
          <w:szCs w:val="26"/>
        </w:rPr>
      </w:pPr>
      <w:r w:rsidRPr="00987F48">
        <w:rPr>
          <w:rFonts w:ascii="Times New Roman" w:eastAsia="Times New Roman" w:hAnsi="Times New Roman" w:cs="Times New Roman"/>
          <w:b/>
          <w:bCs/>
          <w:i/>
          <w:sz w:val="26"/>
          <w:szCs w:val="26"/>
        </w:rPr>
        <w:t>Kiểm tra số dư đầu kì</w:t>
      </w:r>
    </w:p>
    <w:p w14:paraId="056282D8" w14:textId="0CA867E3" w:rsidR="001A3CEC" w:rsidRPr="00987F48" w:rsidRDefault="001A3CEC" w:rsidP="00545729">
      <w:pPr>
        <w:spacing w:after="0" w:line="360" w:lineRule="auto"/>
        <w:ind w:firstLine="567"/>
        <w:jc w:val="both"/>
        <w:rPr>
          <w:rFonts w:ascii="Times New Roman" w:eastAsia="Times New Roman" w:hAnsi="Times New Roman" w:cs="Times New Roman"/>
          <w:b/>
          <w:bCs/>
          <w:i/>
          <w:sz w:val="26"/>
          <w:szCs w:val="26"/>
        </w:rPr>
      </w:pPr>
      <w:r w:rsidRPr="00987F48">
        <w:rPr>
          <w:rFonts w:ascii="Times New Roman" w:eastAsia="Times New Roman" w:hAnsi="Times New Roman" w:cs="Times New Roman"/>
          <w:bCs/>
          <w:sz w:val="26"/>
          <w:szCs w:val="26"/>
        </w:rPr>
        <w:t xml:space="preserve">So sánh, đối chiếu số dư cuối kì của các tài khoản liên quan như 3334, 243, 347… trên sổ sách, báo cáo tài chính của năm trước với sổ sách và </w:t>
      </w:r>
      <w:r w:rsidR="00885521" w:rsidRPr="00987F48">
        <w:rPr>
          <w:rFonts w:ascii="Times New Roman" w:eastAsia="Times New Roman" w:hAnsi="Times New Roman" w:cs="Times New Roman"/>
          <w:bCs/>
          <w:sz w:val="26"/>
          <w:szCs w:val="26"/>
        </w:rPr>
        <w:t>báo cáo tài chính (</w:t>
      </w:r>
      <w:r w:rsidRPr="00987F48">
        <w:rPr>
          <w:rFonts w:ascii="Times New Roman" w:eastAsia="Times New Roman" w:hAnsi="Times New Roman" w:cs="Times New Roman"/>
          <w:bCs/>
          <w:sz w:val="26"/>
          <w:szCs w:val="26"/>
        </w:rPr>
        <w:t>BCTC</w:t>
      </w:r>
      <w:r w:rsidR="00885521" w:rsidRPr="00987F48">
        <w:rPr>
          <w:rFonts w:ascii="Times New Roman" w:eastAsia="Times New Roman" w:hAnsi="Times New Roman" w:cs="Times New Roman"/>
          <w:bCs/>
          <w:sz w:val="26"/>
          <w:szCs w:val="26"/>
        </w:rPr>
        <w:t>)</w:t>
      </w:r>
      <w:r w:rsidRPr="00987F48">
        <w:rPr>
          <w:rFonts w:ascii="Times New Roman" w:eastAsia="Times New Roman" w:hAnsi="Times New Roman" w:cs="Times New Roman"/>
          <w:bCs/>
          <w:sz w:val="26"/>
          <w:szCs w:val="26"/>
        </w:rPr>
        <w:t xml:space="preserve"> năm nay. Thu thập báo cáo quyết toán thuế năm trước và các chứng từ nộp thuế để xác định số thuế đã nộp, số thuế được hoãn lại… và đối chiếu với số dư đầu kì trên BCTC năm nay.</w:t>
      </w:r>
    </w:p>
    <w:p w14:paraId="2F423E4F" w14:textId="77777777" w:rsidR="001A3CEC" w:rsidRPr="00987F48" w:rsidRDefault="001A3CEC" w:rsidP="00545729">
      <w:pPr>
        <w:pStyle w:val="ListParagraph"/>
        <w:spacing w:after="0" w:line="360" w:lineRule="auto"/>
        <w:ind w:left="0" w:firstLine="567"/>
        <w:jc w:val="both"/>
        <w:rPr>
          <w:rFonts w:ascii="Times New Roman" w:hAnsi="Times New Roman" w:cs="Times New Roman"/>
          <w:b/>
          <w:i/>
          <w:sz w:val="26"/>
          <w:szCs w:val="26"/>
        </w:rPr>
      </w:pPr>
      <w:r w:rsidRPr="00987F48">
        <w:rPr>
          <w:rFonts w:ascii="Times New Roman" w:hAnsi="Times New Roman" w:cs="Times New Roman"/>
          <w:b/>
          <w:i/>
          <w:sz w:val="26"/>
          <w:szCs w:val="26"/>
        </w:rPr>
        <w:t>Kiểm tra số phát sinh trong kì</w:t>
      </w:r>
    </w:p>
    <w:p w14:paraId="1B5D2C20" w14:textId="353423BE" w:rsidR="001A3CEC" w:rsidRPr="00987F48" w:rsidRDefault="001A3CEC" w:rsidP="00545729">
      <w:pPr>
        <w:pStyle w:val="para"/>
        <w:numPr>
          <w:ilvl w:val="0"/>
          <w:numId w:val="4"/>
        </w:numPr>
        <w:shd w:val="clear" w:color="auto" w:fill="FFFFFF"/>
        <w:spacing w:before="0" w:beforeAutospacing="0" w:after="0" w:afterAutospacing="0" w:line="360" w:lineRule="auto"/>
        <w:ind w:left="0" w:firstLine="567"/>
        <w:jc w:val="both"/>
        <w:rPr>
          <w:sz w:val="26"/>
          <w:szCs w:val="26"/>
        </w:rPr>
      </w:pPr>
      <w:r w:rsidRPr="00987F48">
        <w:rPr>
          <w:sz w:val="26"/>
          <w:szCs w:val="26"/>
        </w:rPr>
        <w:t>Kiểm toán viên</w:t>
      </w:r>
      <w:r w:rsidR="00B5678F" w:rsidRPr="00987F48">
        <w:rPr>
          <w:sz w:val="26"/>
          <w:szCs w:val="26"/>
        </w:rPr>
        <w:t xml:space="preserve"> có thể</w:t>
      </w:r>
      <w:r w:rsidRPr="00987F48">
        <w:rPr>
          <w:sz w:val="26"/>
          <w:szCs w:val="26"/>
        </w:rPr>
        <w:t xml:space="preserve"> sử dụng kết quả của kiểm toán </w:t>
      </w:r>
      <w:r w:rsidR="00B5678F" w:rsidRPr="00987F48">
        <w:rPr>
          <w:sz w:val="26"/>
          <w:szCs w:val="26"/>
        </w:rPr>
        <w:t xml:space="preserve">chi phí và </w:t>
      </w:r>
      <w:r w:rsidRPr="00987F48">
        <w:rPr>
          <w:sz w:val="26"/>
          <w:szCs w:val="26"/>
        </w:rPr>
        <w:t xml:space="preserve">doanh thu để tính </w:t>
      </w:r>
      <w:r w:rsidR="00B5678F" w:rsidRPr="00987F48">
        <w:rPr>
          <w:sz w:val="26"/>
          <w:szCs w:val="26"/>
        </w:rPr>
        <w:t>số</w:t>
      </w:r>
      <w:r w:rsidRPr="00987F48">
        <w:rPr>
          <w:sz w:val="26"/>
          <w:szCs w:val="26"/>
        </w:rPr>
        <w:t xml:space="preserve"> thuế TNDN phải nộp trong kỳ. Cần lưu ý đến các khoản chi phí được trừ và không được trừ, phụ lục chuyển lỗ, các ưu đãi về thuế TNDN (nếu có), bằng chứng kiểm toán có liên quan của các năm trước, biên bản thanh tra, kiểm tra thuế … để xác định đúng số thuế TNDN phát sinh trong kỳ theo quy định của nhà nước.</w:t>
      </w:r>
    </w:p>
    <w:p w14:paraId="60728FC7" w14:textId="41159526" w:rsidR="001A3CEC" w:rsidRPr="00987F48" w:rsidRDefault="001A3CEC" w:rsidP="00545729">
      <w:pPr>
        <w:pStyle w:val="para"/>
        <w:numPr>
          <w:ilvl w:val="0"/>
          <w:numId w:val="4"/>
        </w:numPr>
        <w:shd w:val="clear" w:color="auto" w:fill="FFFFFF"/>
        <w:spacing w:before="0" w:beforeAutospacing="0" w:after="0" w:afterAutospacing="0" w:line="360" w:lineRule="auto"/>
        <w:ind w:left="0" w:firstLine="567"/>
        <w:jc w:val="both"/>
        <w:rPr>
          <w:sz w:val="26"/>
          <w:szCs w:val="26"/>
        </w:rPr>
      </w:pPr>
      <w:r w:rsidRPr="00987F48">
        <w:rPr>
          <w:sz w:val="26"/>
          <w:szCs w:val="26"/>
        </w:rPr>
        <w:t>Kiểm tra số thuế còn nợ kỳ trước, số thuế bị sai sót, tiền phạt thuế (nếu có) đã được ghi nhận và k</w:t>
      </w:r>
      <w:r w:rsidR="00936056" w:rsidRPr="00987F48">
        <w:rPr>
          <w:sz w:val="26"/>
          <w:szCs w:val="26"/>
        </w:rPr>
        <w:t xml:space="preserve">hắc phục trong kỳ này chưa. So </w:t>
      </w:r>
      <w:r w:rsidRPr="00987F48">
        <w:rPr>
          <w:sz w:val="26"/>
          <w:szCs w:val="26"/>
        </w:rPr>
        <w:t>sánh đối chiếu số liệu thuế TNDN đã nộp với các chứng từ nộp thuế (tờ khai quyết toán thuế TNDN, giấy nộp tiền, ủy nhiệm chi…) và số liệu trên các BCTC có phù hợp hay không. Đồng thời, xem xét thời hạn nộp thuế có theo quy định của nhà nước không.</w:t>
      </w:r>
    </w:p>
    <w:p w14:paraId="2602C26D" w14:textId="77777777" w:rsidR="001A3CEC" w:rsidRPr="00987F48" w:rsidRDefault="001A3CEC" w:rsidP="00545729">
      <w:pPr>
        <w:pStyle w:val="para"/>
        <w:numPr>
          <w:ilvl w:val="0"/>
          <w:numId w:val="4"/>
        </w:numPr>
        <w:shd w:val="clear" w:color="auto" w:fill="FFFFFF"/>
        <w:spacing w:before="0" w:beforeAutospacing="0" w:after="0" w:afterAutospacing="0" w:line="360" w:lineRule="auto"/>
        <w:ind w:left="0" w:firstLine="567"/>
        <w:jc w:val="both"/>
        <w:rPr>
          <w:sz w:val="26"/>
          <w:szCs w:val="26"/>
        </w:rPr>
      </w:pPr>
      <w:r w:rsidRPr="00987F48">
        <w:rPr>
          <w:sz w:val="26"/>
          <w:szCs w:val="26"/>
        </w:rPr>
        <w:t>So sánh số thuế TNDN phải nộp năm nay với các năm trước, số thuế TNDN phải nộp của doanh nghiệp so với các công ty trong ngành để tìm ra biến động bất thường (về nội dung, số tiền, tài khoản đối ứng…), tìm hiểu nguyên nhân và trao đổi với doanh nghiệp để quản lý các nghiệp vụ và gợi ý các hướng xử lý thích hợp.</w:t>
      </w:r>
    </w:p>
    <w:p w14:paraId="52E9901C" w14:textId="77777777" w:rsidR="001A3CEC" w:rsidRPr="00987F48" w:rsidRDefault="001A3CEC" w:rsidP="00545729">
      <w:pPr>
        <w:spacing w:after="0" w:line="360" w:lineRule="auto"/>
        <w:ind w:firstLine="567"/>
        <w:jc w:val="both"/>
        <w:rPr>
          <w:rFonts w:ascii="Times New Roman" w:hAnsi="Times New Roman" w:cs="Times New Roman"/>
          <w:b/>
          <w:i/>
          <w:sz w:val="26"/>
          <w:szCs w:val="26"/>
        </w:rPr>
      </w:pPr>
      <w:r w:rsidRPr="00987F48">
        <w:rPr>
          <w:rFonts w:ascii="Times New Roman" w:hAnsi="Times New Roman" w:cs="Times New Roman"/>
          <w:b/>
          <w:i/>
          <w:sz w:val="26"/>
          <w:szCs w:val="26"/>
        </w:rPr>
        <w:t>Tổng hợp kết quả kiểm toán thuế TNDN</w:t>
      </w:r>
    </w:p>
    <w:p w14:paraId="654A6B12" w14:textId="35E8952C" w:rsidR="001A3CEC" w:rsidRPr="00987F48" w:rsidRDefault="001A3CEC" w:rsidP="00545729">
      <w:pPr>
        <w:pStyle w:val="para"/>
        <w:shd w:val="clear" w:color="auto" w:fill="FFFFFF"/>
        <w:spacing w:before="0" w:beforeAutospacing="0" w:after="0" w:afterAutospacing="0" w:line="360" w:lineRule="auto"/>
        <w:ind w:firstLine="567"/>
        <w:jc w:val="both"/>
        <w:rPr>
          <w:sz w:val="26"/>
          <w:szCs w:val="26"/>
        </w:rPr>
      </w:pPr>
      <w:r w:rsidRPr="00987F48">
        <w:rPr>
          <w:sz w:val="26"/>
          <w:szCs w:val="26"/>
        </w:rPr>
        <w:t>Các thủ tục kiểm toán cần</w:t>
      </w:r>
      <w:r w:rsidR="00936056" w:rsidRPr="00987F48">
        <w:rPr>
          <w:sz w:val="26"/>
          <w:szCs w:val="26"/>
        </w:rPr>
        <w:t xml:space="preserve"> được thực hiện nghiêm túc, chặt</w:t>
      </w:r>
      <w:r w:rsidRPr="00987F48">
        <w:rPr>
          <w:sz w:val="26"/>
          <w:szCs w:val="26"/>
        </w:rPr>
        <w:t xml:space="preserve"> chẽ nhằm kiểm tra các cơ sở dẫn liệu liên quan đến thuế TNDN, bao gồm: hiện hữu, tuân thủ, ghi nhận chính xác và đẩy đủ, trình bày và công bố. Do đó, trước khi đưa ra kết luận, kiểm toán viên cần đánh giá lại kết quả thu thập được như tính đồng bộ và chính xác của số thuế TNDN, sự đầy đủ của các bằng chứng kiểm toán và tổng hợp các sai sót phát hiện được để đưa ra kết luận kiểm toán chính xác hơn. </w:t>
      </w:r>
    </w:p>
    <w:p w14:paraId="72FA76C4" w14:textId="77777777" w:rsidR="001A3CEC" w:rsidRPr="00987F48" w:rsidRDefault="001A3CEC" w:rsidP="00545729">
      <w:pPr>
        <w:pStyle w:val="ListParagraph"/>
        <w:numPr>
          <w:ilvl w:val="0"/>
          <w:numId w:val="1"/>
        </w:numPr>
        <w:tabs>
          <w:tab w:val="left" w:pos="993"/>
        </w:tabs>
        <w:spacing w:after="0" w:line="360" w:lineRule="auto"/>
        <w:ind w:left="0" w:firstLine="567"/>
        <w:jc w:val="both"/>
        <w:rPr>
          <w:rFonts w:ascii="Times New Roman" w:hAnsi="Times New Roman" w:cs="Times New Roman"/>
          <w:b/>
          <w:sz w:val="26"/>
          <w:szCs w:val="26"/>
        </w:rPr>
      </w:pPr>
      <w:r w:rsidRPr="00987F48">
        <w:rPr>
          <w:rFonts w:ascii="Times New Roman" w:hAnsi="Times New Roman" w:cs="Times New Roman"/>
          <w:b/>
          <w:sz w:val="26"/>
          <w:szCs w:val="26"/>
        </w:rPr>
        <w:t>Tài liệu tham khảo</w:t>
      </w:r>
    </w:p>
    <w:p w14:paraId="412BBCEA" w14:textId="77777777" w:rsidR="000B6539" w:rsidRPr="00987F48" w:rsidRDefault="000B6539" w:rsidP="007876C6">
      <w:pPr>
        <w:shd w:val="clear" w:color="auto" w:fill="FFFFFF"/>
        <w:spacing w:after="0" w:line="360" w:lineRule="auto"/>
        <w:ind w:firstLine="567"/>
        <w:jc w:val="both"/>
        <w:rPr>
          <w:rFonts w:ascii="Times New Roman" w:eastAsia="Times New Roman" w:hAnsi="Times New Roman" w:cs="Times New Roman"/>
          <w:iCs/>
          <w:sz w:val="26"/>
          <w:szCs w:val="26"/>
          <w:lang w:val="nl-NL"/>
        </w:rPr>
      </w:pPr>
      <w:r w:rsidRPr="00987F48">
        <w:rPr>
          <w:rFonts w:ascii="Times New Roman" w:eastAsia="Times New Roman" w:hAnsi="Times New Roman" w:cs="Times New Roman"/>
          <w:iCs/>
          <w:sz w:val="26"/>
          <w:szCs w:val="26"/>
          <w:lang w:val="nl-NL"/>
        </w:rPr>
        <w:t>Chuẩn mực kế toán số 14, Ban hành và công bố theo Quyết định số 149/2001/QĐ-BTC ngày 31 tháng 12 năm 2001 của Bộ Tài chính</w:t>
      </w:r>
    </w:p>
    <w:p w14:paraId="45FB3A71" w14:textId="77777777" w:rsidR="000B6539" w:rsidRPr="00987F48" w:rsidRDefault="000B6539" w:rsidP="007876C6">
      <w:pPr>
        <w:shd w:val="clear" w:color="auto" w:fill="FFFFFF"/>
        <w:spacing w:after="0" w:line="360" w:lineRule="auto"/>
        <w:ind w:firstLine="567"/>
        <w:jc w:val="both"/>
        <w:rPr>
          <w:rFonts w:ascii="Times New Roman" w:eastAsia="Times New Roman" w:hAnsi="Times New Roman" w:cs="Times New Roman"/>
          <w:iCs/>
          <w:sz w:val="26"/>
          <w:szCs w:val="26"/>
          <w:lang w:val="nl-NL"/>
        </w:rPr>
      </w:pPr>
      <w:r w:rsidRPr="00987F48">
        <w:rPr>
          <w:rFonts w:ascii="Times New Roman" w:eastAsia="Times New Roman" w:hAnsi="Times New Roman" w:cs="Times New Roman"/>
          <w:iCs/>
          <w:sz w:val="26"/>
          <w:szCs w:val="26"/>
          <w:lang w:val="nl-NL"/>
        </w:rPr>
        <w:t>Chuẩn mực kế toán số 17, Ban hành và công bố theo Quyết định số 12/2005/QĐ-BTC ngày 15 tháng 02 năm 2005 của Bộ Tài chính.</w:t>
      </w:r>
    </w:p>
    <w:p w14:paraId="51FDEE4C" w14:textId="77777777" w:rsidR="000B6539" w:rsidRPr="00987F48" w:rsidRDefault="000B6539" w:rsidP="007876C6">
      <w:pPr>
        <w:spacing w:after="0" w:line="360" w:lineRule="auto"/>
        <w:ind w:firstLine="567"/>
        <w:jc w:val="both"/>
        <w:rPr>
          <w:rFonts w:ascii="Times New Roman" w:hAnsi="Times New Roman" w:cs="Times New Roman"/>
          <w:sz w:val="26"/>
          <w:szCs w:val="26"/>
          <w:shd w:val="clear" w:color="auto" w:fill="FFFFFF"/>
        </w:rPr>
      </w:pPr>
      <w:r w:rsidRPr="00987F48">
        <w:rPr>
          <w:rFonts w:ascii="Times New Roman" w:hAnsi="Times New Roman" w:cs="Times New Roman"/>
          <w:sz w:val="26"/>
          <w:szCs w:val="26"/>
        </w:rPr>
        <w:t xml:space="preserve">Kiểm toán 1, Bộ môn kiểm toán, Khoa kế toán, trường Đại học Kinh tế TP.HCM, năm 2014, NXB </w:t>
      </w:r>
      <w:r w:rsidRPr="00987F48">
        <w:rPr>
          <w:rFonts w:ascii="Times New Roman" w:hAnsi="Times New Roman" w:cs="Times New Roman"/>
          <w:sz w:val="26"/>
          <w:szCs w:val="26"/>
          <w:shd w:val="clear" w:color="auto" w:fill="FFFFFF"/>
        </w:rPr>
        <w:t>Kinh Tế TPHCM.</w:t>
      </w:r>
    </w:p>
    <w:p w14:paraId="15ABAD02" w14:textId="77777777" w:rsidR="000B6539" w:rsidRPr="00987F48" w:rsidRDefault="000B6539" w:rsidP="007876C6">
      <w:pPr>
        <w:spacing w:after="0" w:line="360" w:lineRule="auto"/>
        <w:ind w:firstLine="567"/>
        <w:jc w:val="both"/>
        <w:rPr>
          <w:rFonts w:ascii="Times New Roman" w:eastAsia="Times New Roman" w:hAnsi="Times New Roman" w:cs="Times New Roman"/>
          <w:bCs/>
          <w:sz w:val="26"/>
          <w:szCs w:val="26"/>
        </w:rPr>
      </w:pPr>
      <w:r w:rsidRPr="00987F48">
        <w:rPr>
          <w:rFonts w:ascii="Times New Roman" w:eastAsia="Times New Roman" w:hAnsi="Times New Roman" w:cs="Times New Roman"/>
          <w:bCs/>
          <w:sz w:val="26"/>
          <w:szCs w:val="26"/>
        </w:rPr>
        <w:t>Thông tư 130/2008/TT-BTC</w:t>
      </w:r>
      <w:r w:rsidRPr="00987F48">
        <w:rPr>
          <w:rFonts w:ascii="Times New Roman" w:eastAsia="Times New Roman" w:hAnsi="Times New Roman" w:cs="Times New Roman"/>
          <w:iCs/>
          <w:sz w:val="26"/>
          <w:szCs w:val="26"/>
          <w:lang w:val="nl-NL"/>
        </w:rPr>
        <w:t xml:space="preserve"> ngày 26 tháng 12 năm 2008 của Bộ Tài chính.</w:t>
      </w:r>
    </w:p>
    <w:p w14:paraId="7618DF91" w14:textId="77777777" w:rsidR="000B6539" w:rsidRPr="00987F48" w:rsidRDefault="000B6539" w:rsidP="007876C6">
      <w:pPr>
        <w:shd w:val="clear" w:color="auto" w:fill="FFFFFF"/>
        <w:spacing w:after="0" w:line="360" w:lineRule="auto"/>
        <w:ind w:firstLine="567"/>
        <w:jc w:val="both"/>
        <w:rPr>
          <w:rFonts w:ascii="Times New Roman" w:eastAsia="Times New Roman" w:hAnsi="Times New Roman" w:cs="Times New Roman"/>
          <w:sz w:val="26"/>
          <w:szCs w:val="26"/>
        </w:rPr>
      </w:pPr>
      <w:r w:rsidRPr="00987F48">
        <w:rPr>
          <w:rFonts w:ascii="Times New Roman" w:eastAsia="Times New Roman" w:hAnsi="Times New Roman" w:cs="Times New Roman"/>
          <w:iCs/>
          <w:sz w:val="26"/>
          <w:szCs w:val="26"/>
          <w:lang w:val="nl-NL"/>
        </w:rPr>
        <w:t>Thông tư 151/2014/TT-BTC ngày 10 tháng 10 năm 2014 của Bộ Tài chính.</w:t>
      </w:r>
    </w:p>
    <w:p w14:paraId="16DFA37C" w14:textId="77777777" w:rsidR="000B6539" w:rsidRPr="00987F48" w:rsidRDefault="000B6539" w:rsidP="007876C6">
      <w:pPr>
        <w:spacing w:after="0" w:line="360" w:lineRule="auto"/>
        <w:ind w:firstLine="567"/>
        <w:rPr>
          <w:rFonts w:ascii="Times New Roman" w:hAnsi="Times New Roman" w:cs="Times New Roman"/>
        </w:rPr>
      </w:pPr>
      <w:r w:rsidRPr="00987F48">
        <w:rPr>
          <w:rFonts w:ascii="Times New Roman" w:hAnsi="Times New Roman" w:cs="Times New Roman"/>
          <w:sz w:val="26"/>
          <w:szCs w:val="26"/>
          <w:shd w:val="clear" w:color="auto" w:fill="FFFFFF"/>
        </w:rPr>
        <w:t xml:space="preserve">Thông tư 200/2014/TT-BTC </w:t>
      </w:r>
      <w:r w:rsidRPr="00987F48">
        <w:rPr>
          <w:rFonts w:ascii="Times New Roman" w:eastAsia="Times New Roman" w:hAnsi="Times New Roman" w:cs="Times New Roman"/>
          <w:iCs/>
          <w:sz w:val="26"/>
          <w:szCs w:val="26"/>
          <w:lang w:val="nl-NL"/>
        </w:rPr>
        <w:t>ngày 22 tháng 12 năm 2014 của Bộ Tài chính.</w:t>
      </w:r>
    </w:p>
    <w:p w14:paraId="1C8F9AB9" w14:textId="77777777" w:rsidR="000B6539" w:rsidRPr="00987F48" w:rsidRDefault="000B6539" w:rsidP="007876C6">
      <w:pPr>
        <w:spacing w:after="0" w:line="360" w:lineRule="auto"/>
        <w:ind w:firstLine="567"/>
        <w:rPr>
          <w:rFonts w:ascii="Times New Roman" w:eastAsia="Times New Roman" w:hAnsi="Times New Roman" w:cs="Times New Roman"/>
          <w:iCs/>
          <w:sz w:val="26"/>
          <w:szCs w:val="26"/>
          <w:lang w:val="nl-NL"/>
        </w:rPr>
      </w:pPr>
      <w:r w:rsidRPr="00987F48">
        <w:rPr>
          <w:rFonts w:ascii="Times New Roman" w:eastAsia="Times New Roman" w:hAnsi="Times New Roman" w:cs="Times New Roman"/>
          <w:sz w:val="26"/>
          <w:szCs w:val="26"/>
        </w:rPr>
        <w:t xml:space="preserve">Thông tư 78/2014/TT-BTC </w:t>
      </w:r>
      <w:r w:rsidRPr="00987F48">
        <w:rPr>
          <w:rFonts w:ascii="Times New Roman" w:eastAsia="Times New Roman" w:hAnsi="Times New Roman" w:cs="Times New Roman"/>
          <w:iCs/>
          <w:sz w:val="26"/>
          <w:szCs w:val="26"/>
          <w:lang w:val="nl-NL"/>
        </w:rPr>
        <w:t>ngày 18 tháng 06 năm 2014 của Bộ Tài chính.</w:t>
      </w:r>
    </w:p>
    <w:p w14:paraId="55B163BF" w14:textId="77777777" w:rsidR="006D6074" w:rsidRPr="00987F48" w:rsidRDefault="006D6074" w:rsidP="007876C6">
      <w:pPr>
        <w:spacing w:after="0" w:line="360" w:lineRule="auto"/>
        <w:ind w:firstLine="567"/>
        <w:rPr>
          <w:rFonts w:ascii="Times New Roman" w:eastAsia="Times New Roman" w:hAnsi="Times New Roman" w:cs="Times New Roman"/>
          <w:iCs/>
          <w:sz w:val="26"/>
          <w:szCs w:val="26"/>
          <w:lang w:val="nl-NL"/>
        </w:rPr>
      </w:pPr>
    </w:p>
    <w:p w14:paraId="0A4EE9EE" w14:textId="77777777" w:rsidR="006D6074" w:rsidRPr="00987F48" w:rsidRDefault="006D6074" w:rsidP="007876C6">
      <w:pPr>
        <w:spacing w:after="0" w:line="360" w:lineRule="auto"/>
        <w:ind w:firstLine="567"/>
        <w:rPr>
          <w:rFonts w:ascii="Times New Roman" w:hAnsi="Times New Roman" w:cs="Times New Roman"/>
        </w:rPr>
      </w:pPr>
    </w:p>
    <w:p w14:paraId="1F3C6509" w14:textId="06F9E2AC" w:rsidR="00E71AC3" w:rsidRPr="00987F48" w:rsidRDefault="00E71AC3" w:rsidP="007959DA">
      <w:pPr>
        <w:rPr>
          <w:rFonts w:ascii="Times New Roman" w:hAnsi="Times New Roman" w:cs="Times New Roman"/>
        </w:rPr>
      </w:pPr>
    </w:p>
    <w:p w14:paraId="0DC177DE" w14:textId="77777777" w:rsidR="007959DA" w:rsidRPr="00987F48" w:rsidRDefault="007959DA" w:rsidP="00545729">
      <w:pPr>
        <w:spacing w:after="0" w:line="360" w:lineRule="auto"/>
        <w:ind w:firstLine="567"/>
        <w:jc w:val="both"/>
        <w:rPr>
          <w:rFonts w:ascii="Times New Roman" w:hAnsi="Times New Roman" w:cs="Times New Roman"/>
          <w:sz w:val="26"/>
          <w:szCs w:val="26"/>
        </w:rPr>
      </w:pPr>
    </w:p>
    <w:p w14:paraId="40A6B3E8" w14:textId="77777777" w:rsidR="0086561D" w:rsidRPr="00987F48" w:rsidRDefault="0086561D" w:rsidP="00545729">
      <w:pPr>
        <w:pStyle w:val="ListParagraph"/>
        <w:spacing w:after="0" w:line="360" w:lineRule="auto"/>
        <w:jc w:val="both"/>
        <w:rPr>
          <w:rFonts w:ascii="Times New Roman" w:hAnsi="Times New Roman" w:cs="Times New Roman"/>
          <w:b/>
          <w:sz w:val="26"/>
          <w:szCs w:val="26"/>
        </w:rPr>
      </w:pPr>
    </w:p>
    <w:sectPr w:rsidR="0086561D" w:rsidRPr="00987F48" w:rsidSect="00D01DA4">
      <w:footerReference w:type="default" r:id="rId9"/>
      <w:pgSz w:w="12240" w:h="15840"/>
      <w:pgMar w:top="851" w:right="1183" w:bottom="993" w:left="1440" w:header="720" w:footer="5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4E0F6" w14:textId="77777777" w:rsidR="00830DA3" w:rsidRDefault="00830DA3" w:rsidP="00C53019">
      <w:pPr>
        <w:spacing w:after="0" w:line="240" w:lineRule="auto"/>
      </w:pPr>
      <w:r>
        <w:separator/>
      </w:r>
    </w:p>
  </w:endnote>
  <w:endnote w:type="continuationSeparator" w:id="0">
    <w:p w14:paraId="014BCD01" w14:textId="77777777" w:rsidR="00830DA3" w:rsidRDefault="00830DA3" w:rsidP="00C5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79235"/>
      <w:docPartObj>
        <w:docPartGallery w:val="Page Numbers (Bottom of Page)"/>
        <w:docPartUnique/>
      </w:docPartObj>
    </w:sdtPr>
    <w:sdtEndPr>
      <w:rPr>
        <w:noProof/>
      </w:rPr>
    </w:sdtEndPr>
    <w:sdtContent>
      <w:p w14:paraId="2514E364" w14:textId="788A511D" w:rsidR="00C53019" w:rsidRDefault="00C53019">
        <w:pPr>
          <w:pStyle w:val="Footer"/>
          <w:jc w:val="center"/>
        </w:pPr>
        <w:r>
          <w:fldChar w:fldCharType="begin"/>
        </w:r>
        <w:r>
          <w:instrText xml:space="preserve"> PAGE   \* MERGEFORMAT </w:instrText>
        </w:r>
        <w:r>
          <w:fldChar w:fldCharType="separate"/>
        </w:r>
        <w:r w:rsidR="00830DA3">
          <w:rPr>
            <w:noProof/>
          </w:rPr>
          <w:t>1</w:t>
        </w:r>
        <w:r>
          <w:rPr>
            <w:noProof/>
          </w:rPr>
          <w:fldChar w:fldCharType="end"/>
        </w:r>
      </w:p>
    </w:sdtContent>
  </w:sdt>
  <w:p w14:paraId="4220C78C" w14:textId="77777777" w:rsidR="00C53019" w:rsidRDefault="00C53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188F0" w14:textId="77777777" w:rsidR="00830DA3" w:rsidRDefault="00830DA3" w:rsidP="00C53019">
      <w:pPr>
        <w:spacing w:after="0" w:line="240" w:lineRule="auto"/>
      </w:pPr>
      <w:r>
        <w:separator/>
      </w:r>
    </w:p>
  </w:footnote>
  <w:footnote w:type="continuationSeparator" w:id="0">
    <w:p w14:paraId="0E3188DF" w14:textId="77777777" w:rsidR="00830DA3" w:rsidRDefault="00830DA3" w:rsidP="00C53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E0D"/>
    <w:multiLevelType w:val="hybridMultilevel"/>
    <w:tmpl w:val="3004505E"/>
    <w:lvl w:ilvl="0" w:tplc="73CA6B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81B7323"/>
    <w:multiLevelType w:val="hybridMultilevel"/>
    <w:tmpl w:val="693A5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91F68"/>
    <w:multiLevelType w:val="hybridMultilevel"/>
    <w:tmpl w:val="1C903DCA"/>
    <w:lvl w:ilvl="0" w:tplc="0E9E19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83C13"/>
    <w:multiLevelType w:val="hybridMultilevel"/>
    <w:tmpl w:val="1876C8DC"/>
    <w:lvl w:ilvl="0" w:tplc="56CC31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A6AAA"/>
    <w:multiLevelType w:val="hybridMultilevel"/>
    <w:tmpl w:val="42867472"/>
    <w:lvl w:ilvl="0" w:tplc="C6E85D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982C60"/>
    <w:multiLevelType w:val="multilevel"/>
    <w:tmpl w:val="1944B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5E6522"/>
    <w:multiLevelType w:val="hybridMultilevel"/>
    <w:tmpl w:val="9B243156"/>
    <w:lvl w:ilvl="0" w:tplc="957065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AC4BA1"/>
    <w:multiLevelType w:val="hybridMultilevel"/>
    <w:tmpl w:val="01BA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592AB5"/>
    <w:multiLevelType w:val="hybridMultilevel"/>
    <w:tmpl w:val="297607F2"/>
    <w:lvl w:ilvl="0" w:tplc="81225CE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8C468E"/>
    <w:multiLevelType w:val="hybridMultilevel"/>
    <w:tmpl w:val="F04ADFB0"/>
    <w:lvl w:ilvl="0" w:tplc="D1B0FF2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B11A75"/>
    <w:multiLevelType w:val="multilevel"/>
    <w:tmpl w:val="422296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
  </w:num>
  <w:num w:numId="3">
    <w:abstractNumId w:val="4"/>
  </w:num>
  <w:num w:numId="4">
    <w:abstractNumId w:val="0"/>
  </w:num>
  <w:num w:numId="5">
    <w:abstractNumId w:val="5"/>
  </w:num>
  <w:num w:numId="6">
    <w:abstractNumId w:val="9"/>
  </w:num>
  <w:num w:numId="7">
    <w:abstractNumId w:val="7"/>
  </w:num>
  <w:num w:numId="8">
    <w:abstractNumId w:val="8"/>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9D"/>
    <w:rsid w:val="00030A23"/>
    <w:rsid w:val="00035736"/>
    <w:rsid w:val="0003595B"/>
    <w:rsid w:val="00036860"/>
    <w:rsid w:val="0004328F"/>
    <w:rsid w:val="00053CDE"/>
    <w:rsid w:val="0005494C"/>
    <w:rsid w:val="000800F9"/>
    <w:rsid w:val="000A334B"/>
    <w:rsid w:val="000A437F"/>
    <w:rsid w:val="000B6539"/>
    <w:rsid w:val="000C1A17"/>
    <w:rsid w:val="000E1F91"/>
    <w:rsid w:val="000F1B31"/>
    <w:rsid w:val="000F318B"/>
    <w:rsid w:val="000F6B62"/>
    <w:rsid w:val="000F7A1A"/>
    <w:rsid w:val="001028E9"/>
    <w:rsid w:val="001225AE"/>
    <w:rsid w:val="00127E61"/>
    <w:rsid w:val="00133B89"/>
    <w:rsid w:val="0014144F"/>
    <w:rsid w:val="00143581"/>
    <w:rsid w:val="0015569E"/>
    <w:rsid w:val="00167FC3"/>
    <w:rsid w:val="00173449"/>
    <w:rsid w:val="00190D21"/>
    <w:rsid w:val="001A3CEC"/>
    <w:rsid w:val="001A6A0C"/>
    <w:rsid w:val="001B1993"/>
    <w:rsid w:val="001C2DCE"/>
    <w:rsid w:val="001D15BA"/>
    <w:rsid w:val="001E1271"/>
    <w:rsid w:val="001F71CE"/>
    <w:rsid w:val="00207FD5"/>
    <w:rsid w:val="00212789"/>
    <w:rsid w:val="00220460"/>
    <w:rsid w:val="00222646"/>
    <w:rsid w:val="00225F24"/>
    <w:rsid w:val="00233FCC"/>
    <w:rsid w:val="002649EC"/>
    <w:rsid w:val="002A01DE"/>
    <w:rsid w:val="002A4719"/>
    <w:rsid w:val="002C1BF5"/>
    <w:rsid w:val="002C4796"/>
    <w:rsid w:val="002C667B"/>
    <w:rsid w:val="002D417F"/>
    <w:rsid w:val="002E5E06"/>
    <w:rsid w:val="002F6068"/>
    <w:rsid w:val="002F7CFF"/>
    <w:rsid w:val="00315A81"/>
    <w:rsid w:val="00321A5C"/>
    <w:rsid w:val="00321EF2"/>
    <w:rsid w:val="00346651"/>
    <w:rsid w:val="00361407"/>
    <w:rsid w:val="00364218"/>
    <w:rsid w:val="00364617"/>
    <w:rsid w:val="003660A7"/>
    <w:rsid w:val="0037481F"/>
    <w:rsid w:val="00380144"/>
    <w:rsid w:val="003811E6"/>
    <w:rsid w:val="003B2097"/>
    <w:rsid w:val="003C49A6"/>
    <w:rsid w:val="003D42CF"/>
    <w:rsid w:val="003D71A5"/>
    <w:rsid w:val="003F599B"/>
    <w:rsid w:val="00430BE7"/>
    <w:rsid w:val="00436CA6"/>
    <w:rsid w:val="00437D9A"/>
    <w:rsid w:val="0045739E"/>
    <w:rsid w:val="00465E1E"/>
    <w:rsid w:val="00473D08"/>
    <w:rsid w:val="00475674"/>
    <w:rsid w:val="00476D42"/>
    <w:rsid w:val="00483D77"/>
    <w:rsid w:val="0049799C"/>
    <w:rsid w:val="004A01E7"/>
    <w:rsid w:val="004A3415"/>
    <w:rsid w:val="004B354B"/>
    <w:rsid w:val="004B41EE"/>
    <w:rsid w:val="004C5EFC"/>
    <w:rsid w:val="004D082A"/>
    <w:rsid w:val="004E2765"/>
    <w:rsid w:val="004E3859"/>
    <w:rsid w:val="004E5F59"/>
    <w:rsid w:val="004F4D41"/>
    <w:rsid w:val="00511250"/>
    <w:rsid w:val="00517D99"/>
    <w:rsid w:val="005245AC"/>
    <w:rsid w:val="00545729"/>
    <w:rsid w:val="005607D5"/>
    <w:rsid w:val="0056178E"/>
    <w:rsid w:val="00565F00"/>
    <w:rsid w:val="005751B8"/>
    <w:rsid w:val="005804A6"/>
    <w:rsid w:val="0058317A"/>
    <w:rsid w:val="00587D2F"/>
    <w:rsid w:val="005902AB"/>
    <w:rsid w:val="00591E99"/>
    <w:rsid w:val="00594BC5"/>
    <w:rsid w:val="005C5BAB"/>
    <w:rsid w:val="005C7E8D"/>
    <w:rsid w:val="005D057F"/>
    <w:rsid w:val="005E73B4"/>
    <w:rsid w:val="005F60C5"/>
    <w:rsid w:val="005F6662"/>
    <w:rsid w:val="00621070"/>
    <w:rsid w:val="00670DFB"/>
    <w:rsid w:val="00682126"/>
    <w:rsid w:val="00687D0F"/>
    <w:rsid w:val="006918C2"/>
    <w:rsid w:val="006A0B9D"/>
    <w:rsid w:val="006A1936"/>
    <w:rsid w:val="006A382E"/>
    <w:rsid w:val="006A5077"/>
    <w:rsid w:val="006A7E31"/>
    <w:rsid w:val="006B2956"/>
    <w:rsid w:val="006D6074"/>
    <w:rsid w:val="006E1AFA"/>
    <w:rsid w:val="006E1FC1"/>
    <w:rsid w:val="006F1CF4"/>
    <w:rsid w:val="006F23F7"/>
    <w:rsid w:val="00714B7A"/>
    <w:rsid w:val="00721C19"/>
    <w:rsid w:val="00722DFE"/>
    <w:rsid w:val="00772213"/>
    <w:rsid w:val="007736C4"/>
    <w:rsid w:val="0078759D"/>
    <w:rsid w:val="007876C6"/>
    <w:rsid w:val="007918C4"/>
    <w:rsid w:val="007959DA"/>
    <w:rsid w:val="007F216C"/>
    <w:rsid w:val="0080330E"/>
    <w:rsid w:val="00807453"/>
    <w:rsid w:val="00812FA2"/>
    <w:rsid w:val="00817CC5"/>
    <w:rsid w:val="00820892"/>
    <w:rsid w:val="0082373A"/>
    <w:rsid w:val="00824750"/>
    <w:rsid w:val="00830DA3"/>
    <w:rsid w:val="008428D4"/>
    <w:rsid w:val="0085061C"/>
    <w:rsid w:val="00857279"/>
    <w:rsid w:val="0086103D"/>
    <w:rsid w:val="0086561D"/>
    <w:rsid w:val="008657CB"/>
    <w:rsid w:val="00870305"/>
    <w:rsid w:val="00882CE4"/>
    <w:rsid w:val="00885521"/>
    <w:rsid w:val="008B2F6B"/>
    <w:rsid w:val="008C22CA"/>
    <w:rsid w:val="008C5674"/>
    <w:rsid w:val="008D5140"/>
    <w:rsid w:val="008E34EF"/>
    <w:rsid w:val="008F09D3"/>
    <w:rsid w:val="00907B18"/>
    <w:rsid w:val="009116ED"/>
    <w:rsid w:val="009138CB"/>
    <w:rsid w:val="00916F35"/>
    <w:rsid w:val="00930EE7"/>
    <w:rsid w:val="00936056"/>
    <w:rsid w:val="00944965"/>
    <w:rsid w:val="00951BCA"/>
    <w:rsid w:val="00954DD9"/>
    <w:rsid w:val="0096246A"/>
    <w:rsid w:val="00986087"/>
    <w:rsid w:val="009865BA"/>
    <w:rsid w:val="00986F16"/>
    <w:rsid w:val="00987F48"/>
    <w:rsid w:val="009B3F16"/>
    <w:rsid w:val="009B6ABA"/>
    <w:rsid w:val="009C0D1A"/>
    <w:rsid w:val="009C2FAE"/>
    <w:rsid w:val="009F19CA"/>
    <w:rsid w:val="00A04054"/>
    <w:rsid w:val="00A0735C"/>
    <w:rsid w:val="00A1341A"/>
    <w:rsid w:val="00A14656"/>
    <w:rsid w:val="00A170F7"/>
    <w:rsid w:val="00A224DA"/>
    <w:rsid w:val="00A37402"/>
    <w:rsid w:val="00A37ADC"/>
    <w:rsid w:val="00A408B2"/>
    <w:rsid w:val="00A428F2"/>
    <w:rsid w:val="00A54729"/>
    <w:rsid w:val="00A629F8"/>
    <w:rsid w:val="00A66127"/>
    <w:rsid w:val="00A66D50"/>
    <w:rsid w:val="00A81164"/>
    <w:rsid w:val="00A97FA4"/>
    <w:rsid w:val="00AA7EFB"/>
    <w:rsid w:val="00AB32EF"/>
    <w:rsid w:val="00AC75A0"/>
    <w:rsid w:val="00AD4F44"/>
    <w:rsid w:val="00AD6610"/>
    <w:rsid w:val="00AF1114"/>
    <w:rsid w:val="00B02C9E"/>
    <w:rsid w:val="00B1149D"/>
    <w:rsid w:val="00B16036"/>
    <w:rsid w:val="00B41C45"/>
    <w:rsid w:val="00B4511B"/>
    <w:rsid w:val="00B5678F"/>
    <w:rsid w:val="00B579FE"/>
    <w:rsid w:val="00B65E56"/>
    <w:rsid w:val="00B7470E"/>
    <w:rsid w:val="00B80627"/>
    <w:rsid w:val="00B81315"/>
    <w:rsid w:val="00B83C9A"/>
    <w:rsid w:val="00B93D9E"/>
    <w:rsid w:val="00BA3730"/>
    <w:rsid w:val="00BD0EC6"/>
    <w:rsid w:val="00BD2189"/>
    <w:rsid w:val="00BE4914"/>
    <w:rsid w:val="00BF6509"/>
    <w:rsid w:val="00C0462D"/>
    <w:rsid w:val="00C062A4"/>
    <w:rsid w:val="00C0631E"/>
    <w:rsid w:val="00C15276"/>
    <w:rsid w:val="00C20790"/>
    <w:rsid w:val="00C20976"/>
    <w:rsid w:val="00C23D32"/>
    <w:rsid w:val="00C36206"/>
    <w:rsid w:val="00C369FA"/>
    <w:rsid w:val="00C4739B"/>
    <w:rsid w:val="00C50D28"/>
    <w:rsid w:val="00C53019"/>
    <w:rsid w:val="00C56C6B"/>
    <w:rsid w:val="00C61955"/>
    <w:rsid w:val="00C62C9C"/>
    <w:rsid w:val="00C65FA2"/>
    <w:rsid w:val="00C8085D"/>
    <w:rsid w:val="00C8544B"/>
    <w:rsid w:val="00C86B4F"/>
    <w:rsid w:val="00C87C6A"/>
    <w:rsid w:val="00CA72D9"/>
    <w:rsid w:val="00CC084C"/>
    <w:rsid w:val="00CC337C"/>
    <w:rsid w:val="00CC3BE1"/>
    <w:rsid w:val="00CD1007"/>
    <w:rsid w:val="00CD1D09"/>
    <w:rsid w:val="00CF3929"/>
    <w:rsid w:val="00D00382"/>
    <w:rsid w:val="00D01DA4"/>
    <w:rsid w:val="00D0228D"/>
    <w:rsid w:val="00D06C8C"/>
    <w:rsid w:val="00D147B6"/>
    <w:rsid w:val="00D165D3"/>
    <w:rsid w:val="00D21CE1"/>
    <w:rsid w:val="00D30E8B"/>
    <w:rsid w:val="00D31204"/>
    <w:rsid w:val="00D36FA4"/>
    <w:rsid w:val="00D3769D"/>
    <w:rsid w:val="00D54C2A"/>
    <w:rsid w:val="00D54C77"/>
    <w:rsid w:val="00D613F3"/>
    <w:rsid w:val="00D67A2B"/>
    <w:rsid w:val="00D7737D"/>
    <w:rsid w:val="00D863CB"/>
    <w:rsid w:val="00DB63DF"/>
    <w:rsid w:val="00DC396B"/>
    <w:rsid w:val="00DE3815"/>
    <w:rsid w:val="00E0507A"/>
    <w:rsid w:val="00E1436F"/>
    <w:rsid w:val="00E15C52"/>
    <w:rsid w:val="00E3308B"/>
    <w:rsid w:val="00E376BE"/>
    <w:rsid w:val="00E51429"/>
    <w:rsid w:val="00E5500C"/>
    <w:rsid w:val="00E62366"/>
    <w:rsid w:val="00E71AC3"/>
    <w:rsid w:val="00E755C6"/>
    <w:rsid w:val="00E84589"/>
    <w:rsid w:val="00E94209"/>
    <w:rsid w:val="00EB09C5"/>
    <w:rsid w:val="00ED17BF"/>
    <w:rsid w:val="00ED3F46"/>
    <w:rsid w:val="00EE0DD6"/>
    <w:rsid w:val="00EE299E"/>
    <w:rsid w:val="00EF7507"/>
    <w:rsid w:val="00F041FB"/>
    <w:rsid w:val="00F22FF1"/>
    <w:rsid w:val="00F30A1C"/>
    <w:rsid w:val="00F33758"/>
    <w:rsid w:val="00F44FC3"/>
    <w:rsid w:val="00F5018E"/>
    <w:rsid w:val="00F522CA"/>
    <w:rsid w:val="00F62F34"/>
    <w:rsid w:val="00F64E8A"/>
    <w:rsid w:val="00FB70AD"/>
    <w:rsid w:val="00FC36F7"/>
    <w:rsid w:val="00FD1ABE"/>
    <w:rsid w:val="00FD3AE6"/>
    <w:rsid w:val="00FD5BA3"/>
    <w:rsid w:val="00FE2A14"/>
    <w:rsid w:val="00FE4EAB"/>
    <w:rsid w:val="00FF0912"/>
    <w:rsid w:val="00FF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B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77"/>
  </w:style>
  <w:style w:type="paragraph" w:styleId="Heading1">
    <w:name w:val="heading 1"/>
    <w:basedOn w:val="Normal"/>
    <w:next w:val="Normal"/>
    <w:link w:val="Heading1Char"/>
    <w:uiPriority w:val="9"/>
    <w:qFormat/>
    <w:rsid w:val="00791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918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806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007"/>
    <w:pPr>
      <w:ind w:left="720"/>
      <w:contextualSpacing/>
    </w:pPr>
  </w:style>
  <w:style w:type="paragraph" w:customStyle="1" w:styleId="para">
    <w:name w:val="para"/>
    <w:basedOn w:val="Normal"/>
    <w:rsid w:val="005C5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918C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7918C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E4E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4EAB"/>
    <w:rPr>
      <w:b/>
      <w:bCs/>
    </w:rPr>
  </w:style>
  <w:style w:type="character" w:styleId="Emphasis">
    <w:name w:val="Emphasis"/>
    <w:basedOn w:val="DefaultParagraphFont"/>
    <w:uiPriority w:val="20"/>
    <w:qFormat/>
    <w:rsid w:val="000F1B31"/>
    <w:rPr>
      <w:i/>
      <w:iCs/>
    </w:rPr>
  </w:style>
  <w:style w:type="character" w:styleId="Hyperlink">
    <w:name w:val="Hyperlink"/>
    <w:basedOn w:val="DefaultParagraphFont"/>
    <w:uiPriority w:val="99"/>
    <w:semiHidden/>
    <w:unhideWhenUsed/>
    <w:rsid w:val="00B80627"/>
    <w:rPr>
      <w:color w:val="0000FF"/>
      <w:u w:val="single"/>
    </w:rPr>
  </w:style>
  <w:style w:type="character" w:customStyle="1" w:styleId="Heading3Char">
    <w:name w:val="Heading 3 Char"/>
    <w:basedOn w:val="DefaultParagraphFont"/>
    <w:link w:val="Heading3"/>
    <w:uiPriority w:val="9"/>
    <w:rsid w:val="00B8062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80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019"/>
  </w:style>
  <w:style w:type="paragraph" w:styleId="Footer">
    <w:name w:val="footer"/>
    <w:basedOn w:val="Normal"/>
    <w:link w:val="FooterChar"/>
    <w:uiPriority w:val="99"/>
    <w:unhideWhenUsed/>
    <w:rsid w:val="00C5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019"/>
  </w:style>
  <w:style w:type="character" w:styleId="CommentReference">
    <w:name w:val="annotation reference"/>
    <w:basedOn w:val="DefaultParagraphFont"/>
    <w:uiPriority w:val="99"/>
    <w:semiHidden/>
    <w:unhideWhenUsed/>
    <w:rsid w:val="00C87C6A"/>
    <w:rPr>
      <w:sz w:val="16"/>
      <w:szCs w:val="16"/>
    </w:rPr>
  </w:style>
  <w:style w:type="paragraph" w:styleId="CommentText">
    <w:name w:val="annotation text"/>
    <w:basedOn w:val="Normal"/>
    <w:link w:val="CommentTextChar"/>
    <w:uiPriority w:val="99"/>
    <w:semiHidden/>
    <w:unhideWhenUsed/>
    <w:rsid w:val="00C87C6A"/>
    <w:pPr>
      <w:spacing w:line="240" w:lineRule="auto"/>
    </w:pPr>
    <w:rPr>
      <w:sz w:val="20"/>
      <w:szCs w:val="20"/>
    </w:rPr>
  </w:style>
  <w:style w:type="character" w:customStyle="1" w:styleId="CommentTextChar">
    <w:name w:val="Comment Text Char"/>
    <w:basedOn w:val="DefaultParagraphFont"/>
    <w:link w:val="CommentText"/>
    <w:uiPriority w:val="99"/>
    <w:semiHidden/>
    <w:rsid w:val="00C87C6A"/>
    <w:rPr>
      <w:sz w:val="20"/>
      <w:szCs w:val="20"/>
    </w:rPr>
  </w:style>
  <w:style w:type="paragraph" w:styleId="CommentSubject">
    <w:name w:val="annotation subject"/>
    <w:basedOn w:val="CommentText"/>
    <w:next w:val="CommentText"/>
    <w:link w:val="CommentSubjectChar"/>
    <w:uiPriority w:val="99"/>
    <w:semiHidden/>
    <w:unhideWhenUsed/>
    <w:rsid w:val="00C87C6A"/>
    <w:rPr>
      <w:b/>
      <w:bCs/>
    </w:rPr>
  </w:style>
  <w:style w:type="character" w:customStyle="1" w:styleId="CommentSubjectChar">
    <w:name w:val="Comment Subject Char"/>
    <w:basedOn w:val="CommentTextChar"/>
    <w:link w:val="CommentSubject"/>
    <w:uiPriority w:val="99"/>
    <w:semiHidden/>
    <w:rsid w:val="00C87C6A"/>
    <w:rPr>
      <w:b/>
      <w:bCs/>
      <w:sz w:val="20"/>
      <w:szCs w:val="20"/>
    </w:rPr>
  </w:style>
  <w:style w:type="paragraph" w:styleId="BalloonText">
    <w:name w:val="Balloon Text"/>
    <w:basedOn w:val="Normal"/>
    <w:link w:val="BalloonTextChar"/>
    <w:uiPriority w:val="99"/>
    <w:semiHidden/>
    <w:unhideWhenUsed/>
    <w:rsid w:val="00C87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77"/>
  </w:style>
  <w:style w:type="paragraph" w:styleId="Heading1">
    <w:name w:val="heading 1"/>
    <w:basedOn w:val="Normal"/>
    <w:next w:val="Normal"/>
    <w:link w:val="Heading1Char"/>
    <w:uiPriority w:val="9"/>
    <w:qFormat/>
    <w:rsid w:val="00791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918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806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007"/>
    <w:pPr>
      <w:ind w:left="720"/>
      <w:contextualSpacing/>
    </w:pPr>
  </w:style>
  <w:style w:type="paragraph" w:customStyle="1" w:styleId="para">
    <w:name w:val="para"/>
    <w:basedOn w:val="Normal"/>
    <w:rsid w:val="005C5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918C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7918C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E4E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4EAB"/>
    <w:rPr>
      <w:b/>
      <w:bCs/>
    </w:rPr>
  </w:style>
  <w:style w:type="character" w:styleId="Emphasis">
    <w:name w:val="Emphasis"/>
    <w:basedOn w:val="DefaultParagraphFont"/>
    <w:uiPriority w:val="20"/>
    <w:qFormat/>
    <w:rsid w:val="000F1B31"/>
    <w:rPr>
      <w:i/>
      <w:iCs/>
    </w:rPr>
  </w:style>
  <w:style w:type="character" w:styleId="Hyperlink">
    <w:name w:val="Hyperlink"/>
    <w:basedOn w:val="DefaultParagraphFont"/>
    <w:uiPriority w:val="99"/>
    <w:semiHidden/>
    <w:unhideWhenUsed/>
    <w:rsid w:val="00B80627"/>
    <w:rPr>
      <w:color w:val="0000FF"/>
      <w:u w:val="single"/>
    </w:rPr>
  </w:style>
  <w:style w:type="character" w:customStyle="1" w:styleId="Heading3Char">
    <w:name w:val="Heading 3 Char"/>
    <w:basedOn w:val="DefaultParagraphFont"/>
    <w:link w:val="Heading3"/>
    <w:uiPriority w:val="9"/>
    <w:rsid w:val="00B8062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80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019"/>
  </w:style>
  <w:style w:type="paragraph" w:styleId="Footer">
    <w:name w:val="footer"/>
    <w:basedOn w:val="Normal"/>
    <w:link w:val="FooterChar"/>
    <w:uiPriority w:val="99"/>
    <w:unhideWhenUsed/>
    <w:rsid w:val="00C5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019"/>
  </w:style>
  <w:style w:type="character" w:styleId="CommentReference">
    <w:name w:val="annotation reference"/>
    <w:basedOn w:val="DefaultParagraphFont"/>
    <w:uiPriority w:val="99"/>
    <w:semiHidden/>
    <w:unhideWhenUsed/>
    <w:rsid w:val="00C87C6A"/>
    <w:rPr>
      <w:sz w:val="16"/>
      <w:szCs w:val="16"/>
    </w:rPr>
  </w:style>
  <w:style w:type="paragraph" w:styleId="CommentText">
    <w:name w:val="annotation text"/>
    <w:basedOn w:val="Normal"/>
    <w:link w:val="CommentTextChar"/>
    <w:uiPriority w:val="99"/>
    <w:semiHidden/>
    <w:unhideWhenUsed/>
    <w:rsid w:val="00C87C6A"/>
    <w:pPr>
      <w:spacing w:line="240" w:lineRule="auto"/>
    </w:pPr>
    <w:rPr>
      <w:sz w:val="20"/>
      <w:szCs w:val="20"/>
    </w:rPr>
  </w:style>
  <w:style w:type="character" w:customStyle="1" w:styleId="CommentTextChar">
    <w:name w:val="Comment Text Char"/>
    <w:basedOn w:val="DefaultParagraphFont"/>
    <w:link w:val="CommentText"/>
    <w:uiPriority w:val="99"/>
    <w:semiHidden/>
    <w:rsid w:val="00C87C6A"/>
    <w:rPr>
      <w:sz w:val="20"/>
      <w:szCs w:val="20"/>
    </w:rPr>
  </w:style>
  <w:style w:type="paragraph" w:styleId="CommentSubject">
    <w:name w:val="annotation subject"/>
    <w:basedOn w:val="CommentText"/>
    <w:next w:val="CommentText"/>
    <w:link w:val="CommentSubjectChar"/>
    <w:uiPriority w:val="99"/>
    <w:semiHidden/>
    <w:unhideWhenUsed/>
    <w:rsid w:val="00C87C6A"/>
    <w:rPr>
      <w:b/>
      <w:bCs/>
    </w:rPr>
  </w:style>
  <w:style w:type="character" w:customStyle="1" w:styleId="CommentSubjectChar">
    <w:name w:val="Comment Subject Char"/>
    <w:basedOn w:val="CommentTextChar"/>
    <w:link w:val="CommentSubject"/>
    <w:uiPriority w:val="99"/>
    <w:semiHidden/>
    <w:rsid w:val="00C87C6A"/>
    <w:rPr>
      <w:b/>
      <w:bCs/>
      <w:sz w:val="20"/>
      <w:szCs w:val="20"/>
    </w:rPr>
  </w:style>
  <w:style w:type="paragraph" w:styleId="BalloonText">
    <w:name w:val="Balloon Text"/>
    <w:basedOn w:val="Normal"/>
    <w:link w:val="BalloonTextChar"/>
    <w:uiPriority w:val="99"/>
    <w:semiHidden/>
    <w:unhideWhenUsed/>
    <w:rsid w:val="00C87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1718">
      <w:bodyDiv w:val="1"/>
      <w:marLeft w:val="0"/>
      <w:marRight w:val="0"/>
      <w:marTop w:val="0"/>
      <w:marBottom w:val="0"/>
      <w:divBdr>
        <w:top w:val="none" w:sz="0" w:space="0" w:color="auto"/>
        <w:left w:val="none" w:sz="0" w:space="0" w:color="auto"/>
        <w:bottom w:val="none" w:sz="0" w:space="0" w:color="auto"/>
        <w:right w:val="none" w:sz="0" w:space="0" w:color="auto"/>
      </w:divBdr>
    </w:div>
    <w:div w:id="394819939">
      <w:bodyDiv w:val="1"/>
      <w:marLeft w:val="0"/>
      <w:marRight w:val="0"/>
      <w:marTop w:val="0"/>
      <w:marBottom w:val="0"/>
      <w:divBdr>
        <w:top w:val="none" w:sz="0" w:space="0" w:color="auto"/>
        <w:left w:val="none" w:sz="0" w:space="0" w:color="auto"/>
        <w:bottom w:val="none" w:sz="0" w:space="0" w:color="auto"/>
        <w:right w:val="none" w:sz="0" w:space="0" w:color="auto"/>
      </w:divBdr>
    </w:div>
    <w:div w:id="401563202">
      <w:bodyDiv w:val="1"/>
      <w:marLeft w:val="0"/>
      <w:marRight w:val="0"/>
      <w:marTop w:val="0"/>
      <w:marBottom w:val="0"/>
      <w:divBdr>
        <w:top w:val="none" w:sz="0" w:space="0" w:color="auto"/>
        <w:left w:val="none" w:sz="0" w:space="0" w:color="auto"/>
        <w:bottom w:val="none" w:sz="0" w:space="0" w:color="auto"/>
        <w:right w:val="none" w:sz="0" w:space="0" w:color="auto"/>
      </w:divBdr>
    </w:div>
    <w:div w:id="476919882">
      <w:bodyDiv w:val="1"/>
      <w:marLeft w:val="0"/>
      <w:marRight w:val="0"/>
      <w:marTop w:val="0"/>
      <w:marBottom w:val="0"/>
      <w:divBdr>
        <w:top w:val="none" w:sz="0" w:space="0" w:color="auto"/>
        <w:left w:val="none" w:sz="0" w:space="0" w:color="auto"/>
        <w:bottom w:val="none" w:sz="0" w:space="0" w:color="auto"/>
        <w:right w:val="none" w:sz="0" w:space="0" w:color="auto"/>
      </w:divBdr>
    </w:div>
    <w:div w:id="1045519030">
      <w:bodyDiv w:val="1"/>
      <w:marLeft w:val="0"/>
      <w:marRight w:val="0"/>
      <w:marTop w:val="0"/>
      <w:marBottom w:val="0"/>
      <w:divBdr>
        <w:top w:val="none" w:sz="0" w:space="0" w:color="auto"/>
        <w:left w:val="none" w:sz="0" w:space="0" w:color="auto"/>
        <w:bottom w:val="none" w:sz="0" w:space="0" w:color="auto"/>
        <w:right w:val="none" w:sz="0" w:space="0" w:color="auto"/>
      </w:divBdr>
    </w:div>
    <w:div w:id="1385062491">
      <w:bodyDiv w:val="1"/>
      <w:marLeft w:val="0"/>
      <w:marRight w:val="0"/>
      <w:marTop w:val="0"/>
      <w:marBottom w:val="0"/>
      <w:divBdr>
        <w:top w:val="none" w:sz="0" w:space="0" w:color="auto"/>
        <w:left w:val="none" w:sz="0" w:space="0" w:color="auto"/>
        <w:bottom w:val="none" w:sz="0" w:space="0" w:color="auto"/>
        <w:right w:val="none" w:sz="0" w:space="0" w:color="auto"/>
      </w:divBdr>
    </w:div>
    <w:div w:id="1407337496">
      <w:bodyDiv w:val="1"/>
      <w:marLeft w:val="0"/>
      <w:marRight w:val="0"/>
      <w:marTop w:val="0"/>
      <w:marBottom w:val="0"/>
      <w:divBdr>
        <w:top w:val="none" w:sz="0" w:space="0" w:color="auto"/>
        <w:left w:val="none" w:sz="0" w:space="0" w:color="auto"/>
        <w:bottom w:val="none" w:sz="0" w:space="0" w:color="auto"/>
        <w:right w:val="none" w:sz="0" w:space="0" w:color="auto"/>
      </w:divBdr>
    </w:div>
    <w:div w:id="1516847257">
      <w:bodyDiv w:val="1"/>
      <w:marLeft w:val="0"/>
      <w:marRight w:val="0"/>
      <w:marTop w:val="0"/>
      <w:marBottom w:val="0"/>
      <w:divBdr>
        <w:top w:val="none" w:sz="0" w:space="0" w:color="auto"/>
        <w:left w:val="none" w:sz="0" w:space="0" w:color="auto"/>
        <w:bottom w:val="none" w:sz="0" w:space="0" w:color="auto"/>
        <w:right w:val="none" w:sz="0" w:space="0" w:color="auto"/>
      </w:divBdr>
      <w:divsChild>
        <w:div w:id="1400595782">
          <w:marLeft w:val="0"/>
          <w:marRight w:val="0"/>
          <w:marTop w:val="0"/>
          <w:marBottom w:val="0"/>
          <w:divBdr>
            <w:top w:val="none" w:sz="0" w:space="0" w:color="auto"/>
            <w:left w:val="none" w:sz="0" w:space="0" w:color="auto"/>
            <w:bottom w:val="none" w:sz="0" w:space="0" w:color="auto"/>
            <w:right w:val="none" w:sz="0" w:space="0" w:color="auto"/>
          </w:divBdr>
        </w:div>
        <w:div w:id="1159077956">
          <w:marLeft w:val="0"/>
          <w:marRight w:val="0"/>
          <w:marTop w:val="0"/>
          <w:marBottom w:val="0"/>
          <w:divBdr>
            <w:top w:val="none" w:sz="0" w:space="0" w:color="auto"/>
            <w:left w:val="none" w:sz="0" w:space="0" w:color="auto"/>
            <w:bottom w:val="none" w:sz="0" w:space="0" w:color="auto"/>
            <w:right w:val="none" w:sz="0" w:space="0" w:color="auto"/>
          </w:divBdr>
        </w:div>
      </w:divsChild>
    </w:div>
    <w:div w:id="1786121428">
      <w:bodyDiv w:val="1"/>
      <w:marLeft w:val="0"/>
      <w:marRight w:val="0"/>
      <w:marTop w:val="0"/>
      <w:marBottom w:val="0"/>
      <w:divBdr>
        <w:top w:val="none" w:sz="0" w:space="0" w:color="auto"/>
        <w:left w:val="none" w:sz="0" w:space="0" w:color="auto"/>
        <w:bottom w:val="none" w:sz="0" w:space="0" w:color="auto"/>
        <w:right w:val="none" w:sz="0" w:space="0" w:color="auto"/>
      </w:divBdr>
      <w:divsChild>
        <w:div w:id="959264642">
          <w:marLeft w:val="0"/>
          <w:marRight w:val="0"/>
          <w:marTop w:val="0"/>
          <w:marBottom w:val="0"/>
          <w:divBdr>
            <w:top w:val="none" w:sz="0" w:space="0" w:color="auto"/>
            <w:left w:val="none" w:sz="0" w:space="0" w:color="auto"/>
            <w:bottom w:val="none" w:sz="0" w:space="0" w:color="auto"/>
            <w:right w:val="none" w:sz="0" w:space="0" w:color="auto"/>
          </w:divBdr>
          <w:divsChild>
            <w:div w:id="1961259528">
              <w:marLeft w:val="0"/>
              <w:marRight w:val="0"/>
              <w:marTop w:val="0"/>
              <w:marBottom w:val="0"/>
              <w:divBdr>
                <w:top w:val="none" w:sz="0" w:space="0" w:color="auto"/>
                <w:left w:val="none" w:sz="0" w:space="0" w:color="auto"/>
                <w:bottom w:val="none" w:sz="0" w:space="0" w:color="auto"/>
                <w:right w:val="none" w:sz="0" w:space="0" w:color="auto"/>
              </w:divBdr>
            </w:div>
            <w:div w:id="1275866940">
              <w:marLeft w:val="0"/>
              <w:marRight w:val="0"/>
              <w:marTop w:val="0"/>
              <w:marBottom w:val="0"/>
              <w:divBdr>
                <w:top w:val="none" w:sz="0" w:space="0" w:color="auto"/>
                <w:left w:val="none" w:sz="0" w:space="0" w:color="auto"/>
                <w:bottom w:val="none" w:sz="0" w:space="0" w:color="auto"/>
                <w:right w:val="none" w:sz="0" w:space="0" w:color="auto"/>
              </w:divBdr>
            </w:div>
          </w:divsChild>
        </w:div>
        <w:div w:id="477959429">
          <w:marLeft w:val="0"/>
          <w:marRight w:val="0"/>
          <w:marTop w:val="0"/>
          <w:marBottom w:val="0"/>
          <w:divBdr>
            <w:top w:val="none" w:sz="0" w:space="0" w:color="auto"/>
            <w:left w:val="none" w:sz="0" w:space="0" w:color="auto"/>
            <w:bottom w:val="none" w:sz="0" w:space="0" w:color="auto"/>
            <w:right w:val="none" w:sz="0" w:space="0" w:color="auto"/>
          </w:divBdr>
        </w:div>
      </w:divsChild>
    </w:div>
    <w:div w:id="1831601644">
      <w:bodyDiv w:val="1"/>
      <w:marLeft w:val="0"/>
      <w:marRight w:val="0"/>
      <w:marTop w:val="0"/>
      <w:marBottom w:val="0"/>
      <w:divBdr>
        <w:top w:val="none" w:sz="0" w:space="0" w:color="auto"/>
        <w:left w:val="none" w:sz="0" w:space="0" w:color="auto"/>
        <w:bottom w:val="none" w:sz="0" w:space="0" w:color="auto"/>
        <w:right w:val="none" w:sz="0" w:space="0" w:color="auto"/>
      </w:divBdr>
    </w:div>
    <w:div w:id="1870752897">
      <w:bodyDiv w:val="1"/>
      <w:marLeft w:val="0"/>
      <w:marRight w:val="0"/>
      <w:marTop w:val="0"/>
      <w:marBottom w:val="0"/>
      <w:divBdr>
        <w:top w:val="none" w:sz="0" w:space="0" w:color="auto"/>
        <w:left w:val="none" w:sz="0" w:space="0" w:color="auto"/>
        <w:bottom w:val="none" w:sz="0" w:space="0" w:color="auto"/>
        <w:right w:val="none" w:sz="0" w:space="0" w:color="auto"/>
      </w:divBdr>
    </w:div>
    <w:div w:id="1918900592">
      <w:bodyDiv w:val="1"/>
      <w:marLeft w:val="0"/>
      <w:marRight w:val="0"/>
      <w:marTop w:val="0"/>
      <w:marBottom w:val="0"/>
      <w:divBdr>
        <w:top w:val="none" w:sz="0" w:space="0" w:color="auto"/>
        <w:left w:val="none" w:sz="0" w:space="0" w:color="auto"/>
        <w:bottom w:val="none" w:sz="0" w:space="0" w:color="auto"/>
        <w:right w:val="none" w:sz="0" w:space="0" w:color="auto"/>
      </w:divBdr>
    </w:div>
    <w:div w:id="1929191517">
      <w:bodyDiv w:val="1"/>
      <w:marLeft w:val="0"/>
      <w:marRight w:val="0"/>
      <w:marTop w:val="0"/>
      <w:marBottom w:val="0"/>
      <w:divBdr>
        <w:top w:val="none" w:sz="0" w:space="0" w:color="auto"/>
        <w:left w:val="none" w:sz="0" w:space="0" w:color="auto"/>
        <w:bottom w:val="none" w:sz="0" w:space="0" w:color="auto"/>
        <w:right w:val="none" w:sz="0" w:space="0" w:color="auto"/>
      </w:divBdr>
    </w:div>
    <w:div w:id="2115399857">
      <w:bodyDiv w:val="1"/>
      <w:marLeft w:val="0"/>
      <w:marRight w:val="0"/>
      <w:marTop w:val="0"/>
      <w:marBottom w:val="0"/>
      <w:divBdr>
        <w:top w:val="none" w:sz="0" w:space="0" w:color="auto"/>
        <w:left w:val="none" w:sz="0" w:space="0" w:color="auto"/>
        <w:bottom w:val="none" w:sz="0" w:space="0" w:color="auto"/>
        <w:right w:val="none" w:sz="0" w:space="0" w:color="auto"/>
      </w:divBdr>
    </w:div>
    <w:div w:id="21283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CA5E-225D-4B37-83EC-29D4936E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BaoNhu</dc:creator>
  <cp:lastModifiedBy>ASUS</cp:lastModifiedBy>
  <cp:revision>2</cp:revision>
  <dcterms:created xsi:type="dcterms:W3CDTF">2020-12-16T08:44:00Z</dcterms:created>
  <dcterms:modified xsi:type="dcterms:W3CDTF">2020-12-16T08:44:00Z</dcterms:modified>
</cp:coreProperties>
</file>