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B3539" w14:textId="2B0D99DC" w:rsidR="005D7B86" w:rsidRDefault="005D7B86" w:rsidP="00EA717B">
      <w:pPr>
        <w:shd w:val="clear" w:color="auto" w:fill="FFFFFF"/>
        <w:spacing w:after="0" w:line="360" w:lineRule="auto"/>
        <w:jc w:val="center"/>
        <w:outlineLvl w:val="0"/>
        <w:rPr>
          <w:rFonts w:ascii="Times New Roman" w:eastAsia="Times New Roman" w:hAnsi="Times New Roman" w:cs="Times New Roman"/>
          <w:b/>
          <w:bCs/>
          <w:color w:val="000000"/>
          <w:kern w:val="36"/>
          <w:sz w:val="26"/>
          <w:szCs w:val="26"/>
        </w:rPr>
      </w:pPr>
      <w:bookmarkStart w:id="0" w:name="_GoBack"/>
      <w:r w:rsidRPr="00EA717B">
        <w:rPr>
          <w:rFonts w:ascii="Times New Roman" w:eastAsia="Times New Roman" w:hAnsi="Times New Roman" w:cs="Times New Roman"/>
          <w:b/>
          <w:bCs/>
          <w:color w:val="000000"/>
          <w:kern w:val="36"/>
          <w:sz w:val="26"/>
          <w:szCs w:val="26"/>
        </w:rPr>
        <w:t>QUY ĐỊNH VỀ TRÍCH LẬP QUỸ KHOA HỌC CÔNG NGHỆ</w:t>
      </w:r>
    </w:p>
    <w:p w14:paraId="43D464F6" w14:textId="653A5304" w:rsidR="0038065C" w:rsidRPr="00EA717B" w:rsidRDefault="0038065C" w:rsidP="00EA717B">
      <w:pPr>
        <w:shd w:val="clear" w:color="auto" w:fill="FFFFFF"/>
        <w:spacing w:after="0" w:line="360" w:lineRule="auto"/>
        <w:jc w:val="center"/>
        <w:outlineLvl w:val="0"/>
        <w:rPr>
          <w:rFonts w:ascii="Times New Roman" w:eastAsia="Times New Roman" w:hAnsi="Times New Roman" w:cs="Times New Roman"/>
          <w:b/>
          <w:bCs/>
          <w:color w:val="000000"/>
          <w:kern w:val="36"/>
          <w:sz w:val="26"/>
          <w:szCs w:val="26"/>
        </w:rPr>
      </w:pPr>
      <w:r>
        <w:rPr>
          <w:rFonts w:ascii="Times New Roman" w:eastAsia="Times New Roman" w:hAnsi="Times New Roman" w:cs="Times New Roman"/>
          <w:b/>
          <w:bCs/>
          <w:color w:val="000000"/>
          <w:kern w:val="36"/>
          <w:sz w:val="26"/>
          <w:szCs w:val="26"/>
        </w:rPr>
        <w:t>Nguyễn Thị Quỳnh Giao</w:t>
      </w:r>
    </w:p>
    <w:p w14:paraId="7225D74C" w14:textId="77777777" w:rsidR="005D7B86" w:rsidRPr="005D7B86" w:rsidRDefault="005D7B86" w:rsidP="009B6995">
      <w:pPr>
        <w:shd w:val="clear" w:color="auto" w:fill="FFFFFF"/>
        <w:spacing w:after="0" w:line="360" w:lineRule="auto"/>
        <w:ind w:firstLine="360"/>
        <w:jc w:val="both"/>
        <w:outlineLvl w:val="0"/>
        <w:rPr>
          <w:rFonts w:ascii="Times New Roman" w:eastAsia="Times New Roman" w:hAnsi="Times New Roman" w:cs="Times New Roman"/>
          <w:bCs/>
          <w:color w:val="000000"/>
          <w:kern w:val="36"/>
          <w:sz w:val="26"/>
          <w:szCs w:val="26"/>
        </w:rPr>
      </w:pPr>
      <w:r w:rsidRPr="005D7B86">
        <w:rPr>
          <w:rFonts w:ascii="Times New Roman" w:eastAsia="Times New Roman" w:hAnsi="Times New Roman" w:cs="Times New Roman"/>
          <w:bCs/>
          <w:color w:val="000000"/>
          <w:kern w:val="36"/>
          <w:sz w:val="26"/>
          <w:szCs w:val="26"/>
        </w:rPr>
        <w:t xml:space="preserve">Hiện nay, các </w:t>
      </w:r>
      <w:proofErr w:type="gramStart"/>
      <w:r w:rsidRPr="005D7B86">
        <w:rPr>
          <w:rFonts w:ascii="Times New Roman" w:eastAsia="Times New Roman" w:hAnsi="Times New Roman" w:cs="Times New Roman"/>
          <w:bCs/>
          <w:color w:val="000000"/>
          <w:kern w:val="36"/>
          <w:sz w:val="26"/>
          <w:szCs w:val="26"/>
        </w:rPr>
        <w:t>doanh  nghiệp</w:t>
      </w:r>
      <w:proofErr w:type="gramEnd"/>
      <w:r w:rsidRPr="005D7B86">
        <w:rPr>
          <w:rFonts w:ascii="Times New Roman" w:eastAsia="Times New Roman" w:hAnsi="Times New Roman" w:cs="Times New Roman"/>
          <w:bCs/>
          <w:color w:val="000000"/>
          <w:kern w:val="36"/>
          <w:sz w:val="26"/>
          <w:szCs w:val="26"/>
        </w:rPr>
        <w:t xml:space="preserve"> rất chú trọng đến vấn đề nghiên cứu khoa học và phát triển công nghệ để tạo ra các sản phẩm khoa học có ích. Vấn đề trích lập quỹ khoa học công nghệ trước đã có quy định trong luật Thuế thu nhập doanh </w:t>
      </w:r>
      <w:proofErr w:type="gramStart"/>
      <w:r w:rsidRPr="005D7B86">
        <w:rPr>
          <w:rFonts w:ascii="Times New Roman" w:eastAsia="Times New Roman" w:hAnsi="Times New Roman" w:cs="Times New Roman"/>
          <w:bCs/>
          <w:color w:val="000000"/>
          <w:kern w:val="36"/>
          <w:sz w:val="26"/>
          <w:szCs w:val="26"/>
        </w:rPr>
        <w:t>nghiệp  khi</w:t>
      </w:r>
      <w:proofErr w:type="gramEnd"/>
      <w:r w:rsidRPr="005D7B86">
        <w:rPr>
          <w:rFonts w:ascii="Times New Roman" w:eastAsia="Times New Roman" w:hAnsi="Times New Roman" w:cs="Times New Roman"/>
          <w:bCs/>
          <w:color w:val="000000"/>
          <w:kern w:val="36"/>
          <w:sz w:val="26"/>
          <w:szCs w:val="26"/>
        </w:rPr>
        <w:t xml:space="preserve"> xác định thuế TNDN. Tuy nhiên, để cụ thể hợn về quy định đối tượng áp dụng, phạm vi điều chỉnh, quy định trích lập cũng như quy định về sử dụng quỹ thì Bộ tài chính đã ban hành thông tư số 67/2022/TT-BTC về Hướng dẫn nghĩa vụ thuế khi trích lập Quỹ phát triển khoa học và công nghệ.  Bài viết làm rõ những quy đinh liên quan đến trích lập quỹ khoa học công nghệ</w:t>
      </w:r>
    </w:p>
    <w:p w14:paraId="30C167BC" w14:textId="77777777" w:rsidR="005D7B86" w:rsidRPr="005D7B86" w:rsidRDefault="005D7B86" w:rsidP="00EA717B">
      <w:pPr>
        <w:pStyle w:val="ListParagraph"/>
        <w:numPr>
          <w:ilvl w:val="0"/>
          <w:numId w:val="1"/>
        </w:numPr>
        <w:shd w:val="clear" w:color="auto" w:fill="FFFFFF"/>
        <w:spacing w:after="0" w:line="360" w:lineRule="auto"/>
        <w:jc w:val="both"/>
        <w:outlineLvl w:val="0"/>
        <w:rPr>
          <w:rFonts w:ascii="Times New Roman" w:eastAsia="Times New Roman" w:hAnsi="Times New Roman" w:cs="Times New Roman"/>
          <w:b/>
          <w:bCs/>
          <w:color w:val="000000"/>
          <w:kern w:val="36"/>
          <w:sz w:val="26"/>
          <w:szCs w:val="26"/>
        </w:rPr>
      </w:pPr>
      <w:r w:rsidRPr="005D7B86">
        <w:rPr>
          <w:rFonts w:ascii="Times New Roman" w:eastAsia="Times New Roman" w:hAnsi="Times New Roman" w:cs="Times New Roman"/>
          <w:b/>
          <w:bCs/>
          <w:color w:val="000000"/>
          <w:kern w:val="36"/>
          <w:sz w:val="26"/>
          <w:szCs w:val="26"/>
        </w:rPr>
        <w:t>Trích lập quỹ khoa học công nghệ</w:t>
      </w:r>
    </w:p>
    <w:p w14:paraId="06B56B25" w14:textId="77777777" w:rsidR="005D7B86" w:rsidRPr="005D7B86" w:rsidRDefault="005D7B86" w:rsidP="009B6995">
      <w:pPr>
        <w:shd w:val="clear" w:color="auto" w:fill="FFFFFF"/>
        <w:spacing w:after="0" w:line="360" w:lineRule="auto"/>
        <w:ind w:firstLine="360"/>
        <w:jc w:val="both"/>
        <w:outlineLvl w:val="0"/>
        <w:rPr>
          <w:rFonts w:ascii="Times New Roman" w:eastAsia="Times New Roman" w:hAnsi="Times New Roman" w:cs="Times New Roman"/>
          <w:bCs/>
          <w:color w:val="000000"/>
          <w:kern w:val="36"/>
          <w:sz w:val="26"/>
          <w:szCs w:val="26"/>
        </w:rPr>
      </w:pPr>
      <w:r w:rsidRPr="005D7B86">
        <w:rPr>
          <w:rFonts w:ascii="Times New Roman" w:eastAsia="Times New Roman" w:hAnsi="Times New Roman" w:cs="Times New Roman"/>
          <w:bCs/>
          <w:color w:val="000000"/>
          <w:kern w:val="36"/>
          <w:sz w:val="26"/>
          <w:szCs w:val="26"/>
        </w:rPr>
        <w:t>Theo quy định trong luật thuế TNDN, doanh nghiệp được phép trích lập quỹ khoa học công nghệ khi xác định thuế TNDN phải nộp như sau:</w:t>
      </w:r>
    </w:p>
    <w:p w14:paraId="78DC27BB" w14:textId="77777777" w:rsidR="005D7B86" w:rsidRPr="009B6995" w:rsidRDefault="005D7B86" w:rsidP="00EA717B">
      <w:pPr>
        <w:shd w:val="clear" w:color="auto" w:fill="FFFFFF"/>
        <w:spacing w:after="0" w:line="360" w:lineRule="auto"/>
        <w:jc w:val="both"/>
        <w:outlineLvl w:val="0"/>
        <w:rPr>
          <w:rFonts w:ascii="Times New Roman" w:eastAsia="Times New Roman" w:hAnsi="Times New Roman" w:cs="Times New Roman"/>
          <w:bCs/>
          <w:i/>
          <w:color w:val="000000"/>
          <w:kern w:val="36"/>
          <w:sz w:val="26"/>
          <w:szCs w:val="26"/>
        </w:rPr>
      </w:pPr>
      <w:r w:rsidRPr="009B6995">
        <w:rPr>
          <w:rFonts w:ascii="Times New Roman" w:eastAsia="Times New Roman" w:hAnsi="Times New Roman" w:cs="Times New Roman"/>
          <w:bCs/>
          <w:i/>
          <w:color w:val="000000"/>
          <w:kern w:val="36"/>
          <w:sz w:val="26"/>
          <w:szCs w:val="26"/>
        </w:rPr>
        <w:t>Thuế TNDN    = (Thu nhập tính thuế - Quỹ khoa học công nghệ) * Thuế suất</w:t>
      </w:r>
    </w:p>
    <w:p w14:paraId="30ED211A" w14:textId="77777777" w:rsidR="005D7B86" w:rsidRDefault="005D7B86" w:rsidP="009B6995">
      <w:pPr>
        <w:shd w:val="clear" w:color="auto" w:fill="FFFFFF"/>
        <w:spacing w:after="0" w:line="360" w:lineRule="auto"/>
        <w:ind w:firstLine="360"/>
        <w:jc w:val="both"/>
        <w:outlineLvl w:val="0"/>
        <w:rPr>
          <w:rFonts w:ascii="Times New Roman" w:eastAsia="Times New Roman" w:hAnsi="Times New Roman" w:cs="Times New Roman"/>
          <w:bCs/>
          <w:color w:val="000000"/>
          <w:kern w:val="36"/>
          <w:sz w:val="26"/>
          <w:szCs w:val="26"/>
        </w:rPr>
      </w:pPr>
      <w:r>
        <w:rPr>
          <w:rFonts w:ascii="Times New Roman" w:eastAsia="Times New Roman" w:hAnsi="Times New Roman" w:cs="Times New Roman"/>
          <w:bCs/>
          <w:color w:val="000000"/>
          <w:kern w:val="36"/>
          <w:sz w:val="26"/>
          <w:szCs w:val="26"/>
        </w:rPr>
        <w:t xml:space="preserve">Như vây, đối với các doanh nghiệp có hoạt động nghiên cứu khoa học, phát triển công nghệ thì nên trích lập khoản này để giảm thiểu số thuế TNDN phải nộp cho nhà nước. Tuy nhiên khi trích lập phải đảm bảo các quy định của nhà nước </w:t>
      </w:r>
      <w:proofErr w:type="gramStart"/>
      <w:r>
        <w:rPr>
          <w:rFonts w:ascii="Times New Roman" w:eastAsia="Times New Roman" w:hAnsi="Times New Roman" w:cs="Times New Roman"/>
          <w:bCs/>
          <w:color w:val="000000"/>
          <w:kern w:val="36"/>
          <w:sz w:val="26"/>
          <w:szCs w:val="26"/>
        </w:rPr>
        <w:t>theo</w:t>
      </w:r>
      <w:proofErr w:type="gramEnd"/>
      <w:r>
        <w:rPr>
          <w:rFonts w:ascii="Times New Roman" w:eastAsia="Times New Roman" w:hAnsi="Times New Roman" w:cs="Times New Roman"/>
          <w:bCs/>
          <w:color w:val="000000"/>
          <w:kern w:val="36"/>
          <w:sz w:val="26"/>
          <w:szCs w:val="26"/>
        </w:rPr>
        <w:t xml:space="preserve"> thông tư </w:t>
      </w:r>
      <w:r w:rsidRPr="005D7B86">
        <w:rPr>
          <w:rFonts w:ascii="Times New Roman" w:eastAsia="Times New Roman" w:hAnsi="Times New Roman" w:cs="Times New Roman"/>
          <w:bCs/>
          <w:color w:val="000000"/>
          <w:kern w:val="36"/>
          <w:sz w:val="26"/>
          <w:szCs w:val="26"/>
        </w:rPr>
        <w:t>67/2022/TT-BTC</w:t>
      </w:r>
      <w:r>
        <w:rPr>
          <w:rFonts w:ascii="Times New Roman" w:eastAsia="Times New Roman" w:hAnsi="Times New Roman" w:cs="Times New Roman"/>
          <w:bCs/>
          <w:color w:val="000000"/>
          <w:kern w:val="36"/>
          <w:sz w:val="26"/>
          <w:szCs w:val="26"/>
        </w:rPr>
        <w:t xml:space="preserve">. </w:t>
      </w:r>
    </w:p>
    <w:p w14:paraId="141BB924" w14:textId="77777777" w:rsidR="005D7B86" w:rsidRPr="00EA717B" w:rsidRDefault="005D7B86" w:rsidP="00EA717B">
      <w:pPr>
        <w:pStyle w:val="ListParagraph"/>
        <w:numPr>
          <w:ilvl w:val="0"/>
          <w:numId w:val="1"/>
        </w:numPr>
        <w:shd w:val="clear" w:color="auto" w:fill="FFFFFF"/>
        <w:spacing w:after="0" w:line="360" w:lineRule="auto"/>
        <w:jc w:val="both"/>
        <w:outlineLvl w:val="0"/>
        <w:rPr>
          <w:rFonts w:ascii="Times New Roman" w:eastAsia="Times New Roman" w:hAnsi="Times New Roman" w:cs="Times New Roman"/>
          <w:b/>
          <w:bCs/>
          <w:color w:val="000000"/>
          <w:kern w:val="36"/>
          <w:sz w:val="26"/>
          <w:szCs w:val="26"/>
        </w:rPr>
      </w:pPr>
      <w:r w:rsidRPr="00EA717B">
        <w:rPr>
          <w:rFonts w:ascii="Times New Roman" w:eastAsia="Times New Roman" w:hAnsi="Times New Roman" w:cs="Times New Roman"/>
          <w:b/>
          <w:bCs/>
          <w:color w:val="000000"/>
          <w:kern w:val="36"/>
          <w:sz w:val="26"/>
          <w:szCs w:val="26"/>
        </w:rPr>
        <w:t>Mức trích lập quỹ khoa học công nghệ</w:t>
      </w:r>
    </w:p>
    <w:p w14:paraId="069A53A0" w14:textId="77777777" w:rsidR="005D7B86" w:rsidRDefault="005D7B86" w:rsidP="009B6995">
      <w:pPr>
        <w:shd w:val="clear" w:color="auto" w:fill="FFFFFF"/>
        <w:spacing w:after="0" w:line="360" w:lineRule="auto"/>
        <w:ind w:firstLine="360"/>
        <w:jc w:val="both"/>
        <w:outlineLvl w:val="0"/>
        <w:rPr>
          <w:rFonts w:ascii="Times New Roman" w:eastAsia="Times New Roman" w:hAnsi="Times New Roman" w:cs="Times New Roman"/>
          <w:bCs/>
          <w:color w:val="000000"/>
          <w:kern w:val="36"/>
          <w:sz w:val="26"/>
          <w:szCs w:val="26"/>
        </w:rPr>
      </w:pPr>
      <w:r>
        <w:rPr>
          <w:rFonts w:ascii="Times New Roman" w:eastAsia="Times New Roman" w:hAnsi="Times New Roman" w:cs="Times New Roman"/>
          <w:bCs/>
          <w:color w:val="000000"/>
          <w:kern w:val="36"/>
          <w:sz w:val="26"/>
          <w:szCs w:val="26"/>
        </w:rPr>
        <w:t xml:space="preserve">Theo điều 2 thông tư </w:t>
      </w:r>
      <w:r w:rsidRPr="005D7B86">
        <w:rPr>
          <w:rFonts w:ascii="Times New Roman" w:eastAsia="Times New Roman" w:hAnsi="Times New Roman" w:cs="Times New Roman"/>
          <w:bCs/>
          <w:color w:val="000000"/>
          <w:kern w:val="36"/>
          <w:sz w:val="26"/>
          <w:szCs w:val="26"/>
        </w:rPr>
        <w:t>67/2022/TT-BTC</w:t>
      </w:r>
      <w:r>
        <w:rPr>
          <w:rFonts w:ascii="Times New Roman" w:eastAsia="Times New Roman" w:hAnsi="Times New Roman" w:cs="Times New Roman"/>
          <w:bCs/>
          <w:color w:val="000000"/>
          <w:kern w:val="36"/>
          <w:sz w:val="26"/>
          <w:szCs w:val="26"/>
        </w:rPr>
        <w:t xml:space="preserve">: hằng năm doanh nghiệp được trích lập </w:t>
      </w:r>
      <w:proofErr w:type="gramStart"/>
      <w:r>
        <w:rPr>
          <w:rFonts w:ascii="Times New Roman" w:eastAsia="Times New Roman" w:hAnsi="Times New Roman" w:cs="Times New Roman"/>
          <w:bCs/>
          <w:color w:val="000000"/>
          <w:kern w:val="36"/>
          <w:sz w:val="26"/>
          <w:szCs w:val="26"/>
        </w:rPr>
        <w:t>theo</w:t>
      </w:r>
      <w:proofErr w:type="gramEnd"/>
      <w:r>
        <w:rPr>
          <w:rFonts w:ascii="Times New Roman" w:eastAsia="Times New Roman" w:hAnsi="Times New Roman" w:cs="Times New Roman"/>
          <w:bCs/>
          <w:color w:val="000000"/>
          <w:kern w:val="36"/>
          <w:sz w:val="26"/>
          <w:szCs w:val="26"/>
        </w:rPr>
        <w:t xml:space="preserve"> tỷ lệ % tính trên thu nhập tính thuế TNDN</w:t>
      </w:r>
      <w:r w:rsidR="00EA717B">
        <w:rPr>
          <w:rFonts w:ascii="Times New Roman" w:eastAsia="Times New Roman" w:hAnsi="Times New Roman" w:cs="Times New Roman"/>
          <w:bCs/>
          <w:color w:val="000000"/>
          <w:kern w:val="36"/>
          <w:sz w:val="26"/>
          <w:szCs w:val="26"/>
        </w:rPr>
        <w:t>:</w:t>
      </w:r>
    </w:p>
    <w:p w14:paraId="6986E7C8" w14:textId="77777777" w:rsidR="00EA717B" w:rsidRDefault="00EA717B" w:rsidP="009B6995">
      <w:pPr>
        <w:pStyle w:val="ListParagraph"/>
        <w:numPr>
          <w:ilvl w:val="0"/>
          <w:numId w:val="2"/>
        </w:numPr>
        <w:shd w:val="clear" w:color="auto" w:fill="FFFFFF"/>
        <w:spacing w:after="0" w:line="360" w:lineRule="auto"/>
        <w:ind w:left="360"/>
        <w:jc w:val="both"/>
        <w:outlineLvl w:val="0"/>
        <w:rPr>
          <w:rFonts w:ascii="Times New Roman" w:eastAsia="Times New Roman" w:hAnsi="Times New Roman" w:cs="Times New Roman"/>
          <w:bCs/>
          <w:color w:val="000000"/>
          <w:kern w:val="36"/>
          <w:sz w:val="26"/>
          <w:szCs w:val="26"/>
        </w:rPr>
      </w:pPr>
      <w:r>
        <w:rPr>
          <w:rFonts w:ascii="Times New Roman" w:eastAsia="Times New Roman" w:hAnsi="Times New Roman" w:cs="Times New Roman"/>
          <w:bCs/>
          <w:color w:val="000000"/>
          <w:kern w:val="36"/>
          <w:sz w:val="26"/>
          <w:szCs w:val="26"/>
        </w:rPr>
        <w:t xml:space="preserve">Đối với DN nhà nước: Thực hiện trích từ 3% đến 10% </w:t>
      </w:r>
      <w:proofErr w:type="gramStart"/>
      <w:r>
        <w:rPr>
          <w:rFonts w:ascii="Times New Roman" w:eastAsia="Times New Roman" w:hAnsi="Times New Roman" w:cs="Times New Roman"/>
          <w:bCs/>
          <w:color w:val="000000"/>
          <w:kern w:val="36"/>
          <w:sz w:val="26"/>
          <w:szCs w:val="26"/>
        </w:rPr>
        <w:t>thu</w:t>
      </w:r>
      <w:proofErr w:type="gramEnd"/>
      <w:r>
        <w:rPr>
          <w:rFonts w:ascii="Times New Roman" w:eastAsia="Times New Roman" w:hAnsi="Times New Roman" w:cs="Times New Roman"/>
          <w:bCs/>
          <w:color w:val="000000"/>
          <w:kern w:val="36"/>
          <w:sz w:val="26"/>
          <w:szCs w:val="26"/>
        </w:rPr>
        <w:t xml:space="preserve"> nhập tính thuế TNDN. Tỷ lệ trích căn cứ vào khả năng và nhu cầu chi cho các hoạt động khoa học và công nghệ của doanh nghiệp</w:t>
      </w:r>
    </w:p>
    <w:p w14:paraId="7776C882" w14:textId="77777777" w:rsidR="00EA717B" w:rsidRDefault="00EA717B" w:rsidP="009B6995">
      <w:pPr>
        <w:pStyle w:val="ListParagraph"/>
        <w:numPr>
          <w:ilvl w:val="0"/>
          <w:numId w:val="2"/>
        </w:numPr>
        <w:shd w:val="clear" w:color="auto" w:fill="FFFFFF"/>
        <w:spacing w:after="0" w:line="360" w:lineRule="auto"/>
        <w:ind w:left="360"/>
        <w:jc w:val="both"/>
        <w:outlineLvl w:val="0"/>
        <w:rPr>
          <w:rFonts w:ascii="Times New Roman" w:eastAsia="Times New Roman" w:hAnsi="Times New Roman" w:cs="Times New Roman"/>
          <w:bCs/>
          <w:color w:val="000000"/>
          <w:kern w:val="36"/>
          <w:sz w:val="26"/>
          <w:szCs w:val="26"/>
        </w:rPr>
      </w:pPr>
      <w:r>
        <w:rPr>
          <w:rFonts w:ascii="Times New Roman" w:eastAsia="Times New Roman" w:hAnsi="Times New Roman" w:cs="Times New Roman"/>
          <w:bCs/>
          <w:color w:val="000000"/>
          <w:kern w:val="36"/>
          <w:sz w:val="26"/>
          <w:szCs w:val="26"/>
        </w:rPr>
        <w:t>Đối với doanh nghiệp khác: Doanh nghiệp tự quyết định mức trích lập nhưng không quá 10% thu nhập tính thuế TNDN trong kỳ tính thuế</w:t>
      </w:r>
    </w:p>
    <w:p w14:paraId="22F70FCD" w14:textId="77777777" w:rsidR="00EA717B" w:rsidRPr="00EA717B" w:rsidRDefault="00EA717B" w:rsidP="00EA717B">
      <w:pPr>
        <w:pStyle w:val="ListParagraph"/>
        <w:numPr>
          <w:ilvl w:val="0"/>
          <w:numId w:val="1"/>
        </w:numPr>
        <w:shd w:val="clear" w:color="auto" w:fill="FFFFFF"/>
        <w:spacing w:after="0" w:line="360" w:lineRule="auto"/>
        <w:jc w:val="both"/>
        <w:outlineLvl w:val="0"/>
        <w:rPr>
          <w:rFonts w:ascii="Times New Roman" w:eastAsia="Times New Roman" w:hAnsi="Times New Roman" w:cs="Times New Roman"/>
          <w:b/>
          <w:bCs/>
          <w:color w:val="000000"/>
          <w:kern w:val="36"/>
          <w:sz w:val="26"/>
          <w:szCs w:val="26"/>
        </w:rPr>
      </w:pPr>
      <w:r w:rsidRPr="00EA717B">
        <w:rPr>
          <w:rFonts w:ascii="Times New Roman" w:eastAsia="Times New Roman" w:hAnsi="Times New Roman" w:cs="Times New Roman"/>
          <w:b/>
          <w:bCs/>
          <w:color w:val="000000"/>
          <w:kern w:val="36"/>
          <w:sz w:val="26"/>
          <w:szCs w:val="26"/>
        </w:rPr>
        <w:t>Nguyên tắc sử dụng quỹ</w:t>
      </w:r>
    </w:p>
    <w:p w14:paraId="7B25E696" w14:textId="77777777" w:rsidR="00EA717B" w:rsidRDefault="00EA717B" w:rsidP="009B6995">
      <w:pPr>
        <w:pStyle w:val="ListParagraph"/>
        <w:numPr>
          <w:ilvl w:val="0"/>
          <w:numId w:val="2"/>
        </w:numPr>
        <w:shd w:val="clear" w:color="auto" w:fill="FFFFFF"/>
        <w:spacing w:after="0" w:line="360" w:lineRule="auto"/>
        <w:ind w:left="360"/>
        <w:jc w:val="both"/>
        <w:outlineLvl w:val="0"/>
        <w:rPr>
          <w:rFonts w:ascii="Times New Roman" w:eastAsia="Times New Roman" w:hAnsi="Times New Roman" w:cs="Times New Roman"/>
          <w:bCs/>
          <w:color w:val="000000"/>
          <w:kern w:val="36"/>
          <w:sz w:val="26"/>
          <w:szCs w:val="26"/>
        </w:rPr>
      </w:pPr>
      <w:r>
        <w:rPr>
          <w:rFonts w:ascii="Times New Roman" w:eastAsia="Times New Roman" w:hAnsi="Times New Roman" w:cs="Times New Roman"/>
          <w:bCs/>
          <w:color w:val="000000"/>
          <w:kern w:val="36"/>
          <w:sz w:val="26"/>
          <w:szCs w:val="26"/>
        </w:rPr>
        <w:t>Quỹ chỉ được sử dụng cho hoạt động đầu tư nghiên cứu, phát triển khoa học công nghệ</w:t>
      </w:r>
    </w:p>
    <w:p w14:paraId="780C14C1" w14:textId="77777777" w:rsidR="00EA717B" w:rsidRDefault="00EA717B" w:rsidP="009B6995">
      <w:pPr>
        <w:pStyle w:val="ListParagraph"/>
        <w:numPr>
          <w:ilvl w:val="0"/>
          <w:numId w:val="2"/>
        </w:numPr>
        <w:shd w:val="clear" w:color="auto" w:fill="FFFFFF"/>
        <w:spacing w:after="0" w:line="360" w:lineRule="auto"/>
        <w:ind w:left="360"/>
        <w:jc w:val="both"/>
        <w:outlineLvl w:val="0"/>
        <w:rPr>
          <w:rFonts w:ascii="Times New Roman" w:eastAsia="Times New Roman" w:hAnsi="Times New Roman" w:cs="Times New Roman"/>
          <w:bCs/>
          <w:color w:val="000000"/>
          <w:kern w:val="36"/>
          <w:sz w:val="26"/>
          <w:szCs w:val="26"/>
        </w:rPr>
      </w:pPr>
      <w:r>
        <w:rPr>
          <w:rFonts w:ascii="Times New Roman" w:eastAsia="Times New Roman" w:hAnsi="Times New Roman" w:cs="Times New Roman"/>
          <w:bCs/>
          <w:color w:val="000000"/>
          <w:kern w:val="36"/>
          <w:sz w:val="26"/>
          <w:szCs w:val="26"/>
        </w:rPr>
        <w:t>Các khoản chi từ quỹ phải có đầy đủ hoá đơn, chứng từ theo quy đinh</w:t>
      </w:r>
    </w:p>
    <w:p w14:paraId="02853185" w14:textId="77777777" w:rsidR="00EA717B" w:rsidRPr="00EA717B" w:rsidRDefault="00EA717B" w:rsidP="009B6995">
      <w:pPr>
        <w:pStyle w:val="ListParagraph"/>
        <w:numPr>
          <w:ilvl w:val="0"/>
          <w:numId w:val="2"/>
        </w:numPr>
        <w:shd w:val="clear" w:color="auto" w:fill="FFFFFF"/>
        <w:spacing w:after="0" w:line="360" w:lineRule="auto"/>
        <w:ind w:left="360"/>
        <w:jc w:val="both"/>
        <w:outlineLvl w:val="0"/>
        <w:rPr>
          <w:rFonts w:ascii="Times New Roman" w:eastAsia="Times New Roman" w:hAnsi="Times New Roman" w:cs="Times New Roman"/>
          <w:bCs/>
          <w:color w:val="000000"/>
          <w:kern w:val="36"/>
          <w:sz w:val="26"/>
          <w:szCs w:val="26"/>
        </w:rPr>
      </w:pPr>
      <w:r>
        <w:rPr>
          <w:rFonts w:ascii="Times New Roman" w:eastAsia="Times New Roman" w:hAnsi="Times New Roman" w:cs="Times New Roman"/>
          <w:bCs/>
          <w:color w:val="000000"/>
          <w:kern w:val="36"/>
          <w:sz w:val="26"/>
          <w:szCs w:val="26"/>
        </w:rPr>
        <w:lastRenderedPageBreak/>
        <w:t xml:space="preserve">DN không được tính và chi phí được trừ khi xác định </w:t>
      </w:r>
      <w:proofErr w:type="gramStart"/>
      <w:r>
        <w:rPr>
          <w:rFonts w:ascii="Times New Roman" w:eastAsia="Times New Roman" w:hAnsi="Times New Roman" w:cs="Times New Roman"/>
          <w:bCs/>
          <w:color w:val="000000"/>
          <w:kern w:val="36"/>
          <w:sz w:val="26"/>
          <w:szCs w:val="26"/>
        </w:rPr>
        <w:t>thu</w:t>
      </w:r>
      <w:proofErr w:type="gramEnd"/>
      <w:r>
        <w:rPr>
          <w:rFonts w:ascii="Times New Roman" w:eastAsia="Times New Roman" w:hAnsi="Times New Roman" w:cs="Times New Roman"/>
          <w:bCs/>
          <w:color w:val="000000"/>
          <w:kern w:val="36"/>
          <w:sz w:val="26"/>
          <w:szCs w:val="26"/>
        </w:rPr>
        <w:t xml:space="preserve"> nhập chịu thuế TNDN trong kỳ tính thuế đối với các khoản chi từ quỹ và các khoản liên quan đến tiền chậm nộp, tiền lãi phát sinh từ số thuế TNDN phải nộp.</w:t>
      </w:r>
    </w:p>
    <w:p w14:paraId="4AC9631A" w14:textId="77777777" w:rsidR="00EA717B" w:rsidRDefault="00573B36" w:rsidP="009B6995">
      <w:pPr>
        <w:pStyle w:val="ListParagraph"/>
        <w:numPr>
          <w:ilvl w:val="0"/>
          <w:numId w:val="2"/>
        </w:numPr>
        <w:shd w:val="clear" w:color="auto" w:fill="FFFFFF"/>
        <w:spacing w:after="0" w:line="360" w:lineRule="auto"/>
        <w:ind w:left="360"/>
        <w:jc w:val="both"/>
        <w:outlineLvl w:val="0"/>
        <w:rPr>
          <w:rFonts w:ascii="Times New Roman" w:eastAsia="Times New Roman" w:hAnsi="Times New Roman" w:cs="Times New Roman"/>
          <w:bCs/>
          <w:color w:val="000000"/>
          <w:kern w:val="36"/>
          <w:sz w:val="26"/>
          <w:szCs w:val="26"/>
        </w:rPr>
      </w:pPr>
      <w:r>
        <w:rPr>
          <w:rFonts w:ascii="Times New Roman" w:eastAsia="Times New Roman" w:hAnsi="Times New Roman" w:cs="Times New Roman"/>
          <w:bCs/>
          <w:color w:val="000000"/>
          <w:kern w:val="36"/>
          <w:sz w:val="26"/>
          <w:szCs w:val="26"/>
        </w:rPr>
        <w:t>Các khoản trích quỹ trước thì được sử dụng trước</w:t>
      </w:r>
    </w:p>
    <w:p w14:paraId="2AEBC799" w14:textId="77777777" w:rsidR="00573B36" w:rsidRDefault="00573B36" w:rsidP="009B6995">
      <w:pPr>
        <w:pStyle w:val="ListParagraph"/>
        <w:numPr>
          <w:ilvl w:val="0"/>
          <w:numId w:val="2"/>
        </w:numPr>
        <w:shd w:val="clear" w:color="auto" w:fill="FFFFFF"/>
        <w:spacing w:after="0" w:line="360" w:lineRule="auto"/>
        <w:ind w:left="360"/>
        <w:jc w:val="both"/>
        <w:outlineLvl w:val="0"/>
        <w:rPr>
          <w:rFonts w:ascii="Times New Roman" w:eastAsia="Times New Roman" w:hAnsi="Times New Roman" w:cs="Times New Roman"/>
          <w:bCs/>
          <w:color w:val="000000"/>
          <w:kern w:val="36"/>
          <w:sz w:val="26"/>
          <w:szCs w:val="26"/>
        </w:rPr>
      </w:pPr>
      <w:r>
        <w:rPr>
          <w:rFonts w:ascii="Times New Roman" w:eastAsia="Times New Roman" w:hAnsi="Times New Roman" w:cs="Times New Roman"/>
          <w:bCs/>
          <w:color w:val="000000"/>
          <w:kern w:val="36"/>
          <w:sz w:val="26"/>
          <w:szCs w:val="26"/>
        </w:rPr>
        <w:t xml:space="preserve">Trường hoạp doanh nghiệp sử dụng vượt quá mức trích lập thì có 2 lựa chọn: 1 là tính vào chi phí được trừ khi tính thuế TNDN hoặc trích trước quỹ của các năm tiếp </w:t>
      </w:r>
      <w:proofErr w:type="gramStart"/>
      <w:r>
        <w:rPr>
          <w:rFonts w:ascii="Times New Roman" w:eastAsia="Times New Roman" w:hAnsi="Times New Roman" w:cs="Times New Roman"/>
          <w:bCs/>
          <w:color w:val="000000"/>
          <w:kern w:val="36"/>
          <w:sz w:val="26"/>
          <w:szCs w:val="26"/>
        </w:rPr>
        <w:t>theo</w:t>
      </w:r>
      <w:proofErr w:type="gramEnd"/>
      <w:r>
        <w:rPr>
          <w:rFonts w:ascii="Times New Roman" w:eastAsia="Times New Roman" w:hAnsi="Times New Roman" w:cs="Times New Roman"/>
          <w:bCs/>
          <w:color w:val="000000"/>
          <w:kern w:val="36"/>
          <w:sz w:val="26"/>
          <w:szCs w:val="26"/>
        </w:rPr>
        <w:t xml:space="preserve"> để bù vào số còn thiếu.</w:t>
      </w:r>
    </w:p>
    <w:p w14:paraId="3254F952" w14:textId="77777777" w:rsidR="005D7B86" w:rsidRDefault="00573B36" w:rsidP="00573B36">
      <w:pPr>
        <w:pStyle w:val="ListParagraph"/>
        <w:numPr>
          <w:ilvl w:val="0"/>
          <w:numId w:val="1"/>
        </w:numPr>
        <w:shd w:val="clear" w:color="auto" w:fill="FFFFFF"/>
        <w:spacing w:after="0" w:line="360" w:lineRule="auto"/>
        <w:jc w:val="both"/>
        <w:outlineLvl w:val="0"/>
        <w:rPr>
          <w:rFonts w:ascii="Times New Roman" w:eastAsia="Times New Roman" w:hAnsi="Times New Roman" w:cs="Times New Roman"/>
          <w:b/>
          <w:bCs/>
          <w:color w:val="000000"/>
          <w:kern w:val="36"/>
          <w:sz w:val="26"/>
          <w:szCs w:val="26"/>
        </w:rPr>
      </w:pPr>
      <w:r w:rsidRPr="00573B36">
        <w:rPr>
          <w:rFonts w:ascii="Times New Roman" w:eastAsia="Times New Roman" w:hAnsi="Times New Roman" w:cs="Times New Roman"/>
          <w:b/>
          <w:bCs/>
          <w:color w:val="000000"/>
          <w:kern w:val="36"/>
          <w:sz w:val="26"/>
          <w:szCs w:val="26"/>
        </w:rPr>
        <w:t>Quy định khi doanh nghiệp sử dụng không hết hoặc không đúng mục đích</w:t>
      </w:r>
    </w:p>
    <w:p w14:paraId="00ED963C" w14:textId="77777777" w:rsidR="00573B36" w:rsidRPr="00573B36" w:rsidRDefault="00573B36" w:rsidP="009B6995">
      <w:pPr>
        <w:pStyle w:val="ListParagraph"/>
        <w:numPr>
          <w:ilvl w:val="0"/>
          <w:numId w:val="2"/>
        </w:numPr>
        <w:shd w:val="clear" w:color="auto" w:fill="FFFFFF"/>
        <w:spacing w:after="0" w:line="360" w:lineRule="auto"/>
        <w:ind w:left="360"/>
        <w:jc w:val="both"/>
        <w:outlineLvl w:val="0"/>
        <w:rPr>
          <w:rFonts w:ascii="Times New Roman" w:eastAsia="Times New Roman" w:hAnsi="Times New Roman" w:cs="Times New Roman"/>
          <w:bCs/>
          <w:color w:val="000000"/>
          <w:kern w:val="36"/>
          <w:sz w:val="26"/>
          <w:szCs w:val="26"/>
        </w:rPr>
      </w:pPr>
      <w:r w:rsidRPr="00573B36">
        <w:rPr>
          <w:rFonts w:ascii="Times New Roman" w:eastAsia="Times New Roman" w:hAnsi="Times New Roman" w:cs="Times New Roman"/>
          <w:bCs/>
          <w:color w:val="000000"/>
          <w:kern w:val="36"/>
          <w:sz w:val="26"/>
          <w:szCs w:val="26"/>
        </w:rPr>
        <w:t xml:space="preserve">Trường hợp DN sử dụng không đúng mục đích thì DN phải nộp ngân sách phần thuế TNDN tính trên phần </w:t>
      </w:r>
      <w:proofErr w:type="gramStart"/>
      <w:r w:rsidRPr="00573B36">
        <w:rPr>
          <w:rFonts w:ascii="Times New Roman" w:eastAsia="Times New Roman" w:hAnsi="Times New Roman" w:cs="Times New Roman"/>
          <w:bCs/>
          <w:color w:val="000000"/>
          <w:kern w:val="36"/>
          <w:sz w:val="26"/>
          <w:szCs w:val="26"/>
        </w:rPr>
        <w:t>thu</w:t>
      </w:r>
      <w:proofErr w:type="gramEnd"/>
      <w:r w:rsidRPr="00573B36">
        <w:rPr>
          <w:rFonts w:ascii="Times New Roman" w:eastAsia="Times New Roman" w:hAnsi="Times New Roman" w:cs="Times New Roman"/>
          <w:bCs/>
          <w:color w:val="000000"/>
          <w:kern w:val="36"/>
          <w:sz w:val="26"/>
          <w:szCs w:val="26"/>
        </w:rPr>
        <w:t xml:space="preserve"> nhập đã trích và số lãi phát sinh từ số thuế TNDN đó.</w:t>
      </w:r>
    </w:p>
    <w:p w14:paraId="35A92E4D" w14:textId="77777777" w:rsidR="00573B36" w:rsidRDefault="00573B36" w:rsidP="009B6995">
      <w:pPr>
        <w:pStyle w:val="ListParagraph"/>
        <w:numPr>
          <w:ilvl w:val="0"/>
          <w:numId w:val="2"/>
        </w:numPr>
        <w:shd w:val="clear" w:color="auto" w:fill="FFFFFF"/>
        <w:spacing w:after="0" w:line="360" w:lineRule="auto"/>
        <w:ind w:left="360"/>
        <w:jc w:val="both"/>
        <w:outlineLvl w:val="0"/>
        <w:rPr>
          <w:rFonts w:ascii="Times New Roman" w:eastAsia="Times New Roman" w:hAnsi="Times New Roman" w:cs="Times New Roman"/>
          <w:bCs/>
          <w:color w:val="000000"/>
          <w:kern w:val="36"/>
          <w:sz w:val="26"/>
          <w:szCs w:val="26"/>
        </w:rPr>
      </w:pPr>
      <w:r w:rsidRPr="00573B36">
        <w:rPr>
          <w:rFonts w:ascii="Times New Roman" w:eastAsia="Times New Roman" w:hAnsi="Times New Roman" w:cs="Times New Roman"/>
          <w:bCs/>
          <w:color w:val="000000"/>
          <w:kern w:val="36"/>
          <w:sz w:val="26"/>
          <w:szCs w:val="26"/>
        </w:rPr>
        <w:t>Khi DN không sử dụng hoặc sử dụng không hết 70% khoản quỹ trích lập hằng năm thì DN phải nộp NSNN phần thuế TNDN tính trên khoản thu nhập đã trích nhưng không sử dụng hoặc sử dụng không hết, đồng thời phải nộp tiền lãi phát sinh từ số thuế TNDN đó.</w:t>
      </w:r>
    </w:p>
    <w:p w14:paraId="366203C9" w14:textId="77777777" w:rsidR="001B32C2" w:rsidRPr="001B32C2" w:rsidRDefault="001B32C2" w:rsidP="001B32C2">
      <w:pPr>
        <w:pStyle w:val="ListParagraph"/>
        <w:numPr>
          <w:ilvl w:val="0"/>
          <w:numId w:val="1"/>
        </w:numPr>
        <w:shd w:val="clear" w:color="auto" w:fill="FFFFFF"/>
        <w:spacing w:after="0" w:line="360" w:lineRule="auto"/>
        <w:jc w:val="both"/>
        <w:outlineLvl w:val="0"/>
        <w:rPr>
          <w:rFonts w:ascii="Times New Roman" w:eastAsia="Times New Roman" w:hAnsi="Times New Roman" w:cs="Times New Roman"/>
          <w:b/>
          <w:bCs/>
          <w:color w:val="000000"/>
          <w:kern w:val="36"/>
          <w:sz w:val="26"/>
          <w:szCs w:val="26"/>
        </w:rPr>
      </w:pPr>
      <w:r w:rsidRPr="001B32C2">
        <w:rPr>
          <w:rFonts w:ascii="Times New Roman" w:eastAsia="Times New Roman" w:hAnsi="Times New Roman" w:cs="Times New Roman"/>
          <w:b/>
          <w:bCs/>
          <w:color w:val="000000"/>
          <w:kern w:val="36"/>
          <w:sz w:val="26"/>
          <w:szCs w:val="26"/>
        </w:rPr>
        <w:t>Quy định quản lý tài sản hình thành từ quỹ</w:t>
      </w:r>
    </w:p>
    <w:p w14:paraId="693803B8" w14:textId="77777777" w:rsidR="001B32C2" w:rsidRDefault="001B32C2" w:rsidP="009B6995">
      <w:pPr>
        <w:pStyle w:val="ListParagraph"/>
        <w:numPr>
          <w:ilvl w:val="0"/>
          <w:numId w:val="2"/>
        </w:numPr>
        <w:shd w:val="clear" w:color="auto" w:fill="FFFFFF"/>
        <w:spacing w:after="0" w:line="360" w:lineRule="auto"/>
        <w:ind w:left="360"/>
        <w:jc w:val="both"/>
        <w:outlineLvl w:val="0"/>
        <w:rPr>
          <w:rFonts w:ascii="Times New Roman" w:eastAsia="Times New Roman" w:hAnsi="Times New Roman" w:cs="Times New Roman"/>
          <w:bCs/>
          <w:color w:val="000000"/>
          <w:kern w:val="36"/>
          <w:sz w:val="26"/>
          <w:szCs w:val="26"/>
        </w:rPr>
      </w:pPr>
      <w:r>
        <w:rPr>
          <w:rFonts w:ascii="Times New Roman" w:eastAsia="Times New Roman" w:hAnsi="Times New Roman" w:cs="Times New Roman"/>
          <w:bCs/>
          <w:color w:val="000000"/>
          <w:kern w:val="36"/>
          <w:sz w:val="26"/>
          <w:szCs w:val="26"/>
        </w:rPr>
        <w:t>DN phải lập hồ sơ tài sản cố định hình thành từ nguồn quỹ để theo dõi và không được tính hấy hao tài sản cố định vào chi phí được trừ khi xác định thu nhập chịu thuế TNDN</w:t>
      </w:r>
    </w:p>
    <w:p w14:paraId="24F3918C" w14:textId="77777777" w:rsidR="001B32C2" w:rsidRDefault="001B32C2" w:rsidP="009B6995">
      <w:pPr>
        <w:pStyle w:val="ListParagraph"/>
        <w:numPr>
          <w:ilvl w:val="0"/>
          <w:numId w:val="2"/>
        </w:numPr>
        <w:shd w:val="clear" w:color="auto" w:fill="FFFFFF"/>
        <w:spacing w:after="0" w:line="360" w:lineRule="auto"/>
        <w:ind w:left="360"/>
        <w:jc w:val="both"/>
        <w:outlineLvl w:val="0"/>
        <w:rPr>
          <w:rFonts w:ascii="Times New Roman" w:eastAsia="Times New Roman" w:hAnsi="Times New Roman" w:cs="Times New Roman"/>
          <w:bCs/>
          <w:color w:val="000000"/>
          <w:kern w:val="36"/>
          <w:sz w:val="26"/>
          <w:szCs w:val="26"/>
        </w:rPr>
      </w:pPr>
      <w:r>
        <w:rPr>
          <w:rFonts w:ascii="Times New Roman" w:eastAsia="Times New Roman" w:hAnsi="Times New Roman" w:cs="Times New Roman"/>
          <w:bCs/>
          <w:color w:val="000000"/>
          <w:kern w:val="36"/>
          <w:sz w:val="26"/>
          <w:szCs w:val="26"/>
        </w:rPr>
        <w:t>Các tài sản cố định đã được đầu tư từ nguồn quỹ, nếu DN có thực hiện sửa chữa, nâng cấp thì tiếp tục sử dụng nguồn quỹ của DN để chi trả</w:t>
      </w:r>
    </w:p>
    <w:p w14:paraId="2F236A52" w14:textId="77777777" w:rsidR="001B32C2" w:rsidRDefault="001B32C2" w:rsidP="009B6995">
      <w:pPr>
        <w:pStyle w:val="ListParagraph"/>
        <w:numPr>
          <w:ilvl w:val="0"/>
          <w:numId w:val="2"/>
        </w:numPr>
        <w:shd w:val="clear" w:color="auto" w:fill="FFFFFF"/>
        <w:spacing w:after="0" w:line="360" w:lineRule="auto"/>
        <w:ind w:left="360"/>
        <w:jc w:val="both"/>
        <w:outlineLvl w:val="0"/>
        <w:rPr>
          <w:rFonts w:ascii="Times New Roman" w:eastAsia="Times New Roman" w:hAnsi="Times New Roman" w:cs="Times New Roman"/>
          <w:bCs/>
          <w:color w:val="000000"/>
          <w:kern w:val="36"/>
          <w:sz w:val="26"/>
          <w:szCs w:val="26"/>
        </w:rPr>
      </w:pPr>
      <w:r>
        <w:rPr>
          <w:rFonts w:ascii="Times New Roman" w:eastAsia="Times New Roman" w:hAnsi="Times New Roman" w:cs="Times New Roman"/>
          <w:bCs/>
          <w:color w:val="000000"/>
          <w:kern w:val="36"/>
          <w:sz w:val="26"/>
          <w:szCs w:val="26"/>
        </w:rPr>
        <w:t>Trường hợp TSCĐ được hình thành từ nguồn quỹ để phục vụ cho hoạt động nghiên cứu khoa học công nghệ chưa hết hao mòn</w:t>
      </w:r>
      <w:proofErr w:type="gramStart"/>
      <w:r>
        <w:rPr>
          <w:rFonts w:ascii="Times New Roman" w:eastAsia="Times New Roman" w:hAnsi="Times New Roman" w:cs="Times New Roman"/>
          <w:bCs/>
          <w:color w:val="000000"/>
          <w:kern w:val="36"/>
          <w:sz w:val="26"/>
          <w:szCs w:val="26"/>
        </w:rPr>
        <w:t>,.</w:t>
      </w:r>
      <w:proofErr w:type="gramEnd"/>
      <w:r>
        <w:rPr>
          <w:rFonts w:ascii="Times New Roman" w:eastAsia="Times New Roman" w:hAnsi="Times New Roman" w:cs="Times New Roman"/>
          <w:bCs/>
          <w:color w:val="000000"/>
          <w:kern w:val="36"/>
          <w:sz w:val="26"/>
          <w:szCs w:val="26"/>
        </w:rPr>
        <w:t xml:space="preserve"> Nếu chuyển giao cho hoạt động sản xuất kinh doanh của DN thì phần giá trị còn tại của TSCĐ tính vào thu nhập khác và phần giá trị còn lại của TSCĐ đó được trích khấu hao, tính vào chi phí được trừ khi tính thuế TNDN.</w:t>
      </w:r>
    </w:p>
    <w:p w14:paraId="7CB2AA0C" w14:textId="77777777" w:rsidR="001B32C2" w:rsidRDefault="001B32C2" w:rsidP="009B6995">
      <w:pPr>
        <w:pStyle w:val="ListParagraph"/>
        <w:numPr>
          <w:ilvl w:val="0"/>
          <w:numId w:val="2"/>
        </w:numPr>
        <w:shd w:val="clear" w:color="auto" w:fill="FFFFFF"/>
        <w:spacing w:after="0" w:line="360" w:lineRule="auto"/>
        <w:ind w:left="360"/>
        <w:jc w:val="both"/>
        <w:outlineLvl w:val="0"/>
        <w:rPr>
          <w:rFonts w:ascii="Times New Roman" w:eastAsia="Times New Roman" w:hAnsi="Times New Roman" w:cs="Times New Roman"/>
          <w:bCs/>
          <w:color w:val="000000"/>
          <w:kern w:val="36"/>
          <w:sz w:val="26"/>
          <w:szCs w:val="26"/>
        </w:rPr>
      </w:pPr>
      <w:r>
        <w:rPr>
          <w:rFonts w:ascii="Times New Roman" w:eastAsia="Times New Roman" w:hAnsi="Times New Roman" w:cs="Times New Roman"/>
          <w:bCs/>
          <w:color w:val="000000"/>
          <w:kern w:val="36"/>
          <w:sz w:val="26"/>
          <w:szCs w:val="26"/>
        </w:rPr>
        <w:t xml:space="preserve">Trường hợp TSCĐ đã hình thành từ nguồn quỹ chưa hết hao mòn vừa dụng cho hoạt động NCKH và SXKD của DN thì DN tiếp tục </w:t>
      </w:r>
      <w:proofErr w:type="gramStart"/>
      <w:r>
        <w:rPr>
          <w:rFonts w:ascii="Times New Roman" w:eastAsia="Times New Roman" w:hAnsi="Times New Roman" w:cs="Times New Roman"/>
          <w:bCs/>
          <w:color w:val="000000"/>
          <w:kern w:val="36"/>
          <w:sz w:val="26"/>
          <w:szCs w:val="26"/>
        </w:rPr>
        <w:t>theo</w:t>
      </w:r>
      <w:proofErr w:type="gramEnd"/>
      <w:r>
        <w:rPr>
          <w:rFonts w:ascii="Times New Roman" w:eastAsia="Times New Roman" w:hAnsi="Times New Roman" w:cs="Times New Roman"/>
          <w:bCs/>
          <w:color w:val="000000"/>
          <w:kern w:val="36"/>
          <w:sz w:val="26"/>
          <w:szCs w:val="26"/>
        </w:rPr>
        <w:t xml:space="preserve"> dõi quản lý và không phải tính khấy hao tài sản cố định</w:t>
      </w:r>
      <w:r w:rsidR="00F97C5B">
        <w:rPr>
          <w:rFonts w:ascii="Times New Roman" w:eastAsia="Times New Roman" w:hAnsi="Times New Roman" w:cs="Times New Roman"/>
          <w:bCs/>
          <w:color w:val="000000"/>
          <w:kern w:val="36"/>
          <w:sz w:val="26"/>
          <w:szCs w:val="26"/>
        </w:rPr>
        <w:t xml:space="preserve"> </w:t>
      </w:r>
      <w:r>
        <w:rPr>
          <w:rFonts w:ascii="Times New Roman" w:eastAsia="Times New Roman" w:hAnsi="Times New Roman" w:cs="Times New Roman"/>
          <w:bCs/>
          <w:color w:val="000000"/>
          <w:kern w:val="36"/>
          <w:sz w:val="26"/>
          <w:szCs w:val="26"/>
        </w:rPr>
        <w:t>vào chi phí được trừ khi xác định thu nhập chịu thuế TNDN.</w:t>
      </w:r>
    </w:p>
    <w:p w14:paraId="6D327B87" w14:textId="77777777" w:rsidR="001B32C2" w:rsidRDefault="00F97C5B" w:rsidP="009B6995">
      <w:pPr>
        <w:pStyle w:val="ListParagraph"/>
        <w:numPr>
          <w:ilvl w:val="0"/>
          <w:numId w:val="2"/>
        </w:numPr>
        <w:shd w:val="clear" w:color="auto" w:fill="FFFFFF"/>
        <w:spacing w:after="0" w:line="360" w:lineRule="auto"/>
        <w:ind w:left="360"/>
        <w:jc w:val="both"/>
        <w:outlineLvl w:val="0"/>
        <w:rPr>
          <w:rFonts w:ascii="Times New Roman" w:eastAsia="Times New Roman" w:hAnsi="Times New Roman" w:cs="Times New Roman"/>
          <w:bCs/>
          <w:color w:val="000000"/>
          <w:kern w:val="36"/>
          <w:sz w:val="26"/>
          <w:szCs w:val="26"/>
        </w:rPr>
      </w:pPr>
      <w:r>
        <w:rPr>
          <w:rFonts w:ascii="Times New Roman" w:eastAsia="Times New Roman" w:hAnsi="Times New Roman" w:cs="Times New Roman"/>
          <w:bCs/>
          <w:color w:val="000000"/>
          <w:kern w:val="36"/>
          <w:sz w:val="26"/>
          <w:szCs w:val="26"/>
        </w:rPr>
        <w:t>Trường hợp TSCĐ hình thành từ quỹ và chuyển giao phục vụ cho SXKD thì giá trị của TSCĐ tính vào thu nhập khác và tài sản đó được trích khấu hao, tính vào chi phí được trừ khi xác định thu nhập chịu thuế TNDN</w:t>
      </w:r>
    </w:p>
    <w:p w14:paraId="44B9DCE8" w14:textId="77777777" w:rsidR="00F97C5B" w:rsidRDefault="00F97C5B" w:rsidP="009B6995">
      <w:pPr>
        <w:pStyle w:val="ListParagraph"/>
        <w:numPr>
          <w:ilvl w:val="0"/>
          <w:numId w:val="2"/>
        </w:numPr>
        <w:shd w:val="clear" w:color="auto" w:fill="FFFFFF"/>
        <w:spacing w:after="0" w:line="360" w:lineRule="auto"/>
        <w:ind w:left="360"/>
        <w:jc w:val="both"/>
        <w:outlineLvl w:val="0"/>
        <w:rPr>
          <w:rFonts w:ascii="Times New Roman" w:eastAsia="Times New Roman" w:hAnsi="Times New Roman" w:cs="Times New Roman"/>
          <w:bCs/>
          <w:color w:val="000000"/>
          <w:kern w:val="36"/>
          <w:sz w:val="26"/>
          <w:szCs w:val="26"/>
        </w:rPr>
      </w:pPr>
      <w:r>
        <w:rPr>
          <w:rFonts w:ascii="Times New Roman" w:eastAsia="Times New Roman" w:hAnsi="Times New Roman" w:cs="Times New Roman"/>
          <w:bCs/>
          <w:color w:val="000000"/>
          <w:kern w:val="36"/>
          <w:sz w:val="26"/>
          <w:szCs w:val="26"/>
        </w:rPr>
        <w:lastRenderedPageBreak/>
        <w:t>Trường hợp TSCĐ đang dùng cho mục đích sản xuất kinh doanh chuyển sang dùng cho hoạt động nghiên cức khoa học thì DN xác định giá trị còn lại của TSCĐ để chi mua tài sản cố định từ nguồn quỹ.</w:t>
      </w:r>
    </w:p>
    <w:p w14:paraId="295C9BA8" w14:textId="77777777" w:rsidR="00F97C5B" w:rsidRPr="00F97C5B" w:rsidRDefault="00F97C5B" w:rsidP="00F97C5B">
      <w:pPr>
        <w:pStyle w:val="ListParagraph"/>
        <w:shd w:val="clear" w:color="auto" w:fill="FFFFFF"/>
        <w:spacing w:after="0" w:line="360" w:lineRule="auto"/>
        <w:jc w:val="both"/>
        <w:outlineLvl w:val="0"/>
        <w:rPr>
          <w:rFonts w:ascii="Times New Roman" w:eastAsia="Times New Roman" w:hAnsi="Times New Roman" w:cs="Times New Roman"/>
          <w:b/>
          <w:bCs/>
          <w:color w:val="000000"/>
          <w:kern w:val="36"/>
          <w:sz w:val="26"/>
          <w:szCs w:val="26"/>
        </w:rPr>
      </w:pPr>
      <w:r w:rsidRPr="00F97C5B">
        <w:rPr>
          <w:rFonts w:ascii="Times New Roman" w:eastAsia="Times New Roman" w:hAnsi="Times New Roman" w:cs="Times New Roman"/>
          <w:b/>
          <w:bCs/>
          <w:color w:val="000000"/>
          <w:kern w:val="36"/>
          <w:sz w:val="26"/>
          <w:szCs w:val="26"/>
        </w:rPr>
        <w:t>TÀI LIỆU THAM KHẢO</w:t>
      </w:r>
    </w:p>
    <w:p w14:paraId="60CC3AAB" w14:textId="77777777" w:rsidR="00F97C5B" w:rsidRDefault="00F97C5B" w:rsidP="009B6995">
      <w:pPr>
        <w:pStyle w:val="ListParagraph"/>
        <w:numPr>
          <w:ilvl w:val="0"/>
          <w:numId w:val="2"/>
        </w:numPr>
        <w:shd w:val="clear" w:color="auto" w:fill="FFFFFF"/>
        <w:spacing w:after="0" w:line="360" w:lineRule="auto"/>
        <w:jc w:val="both"/>
        <w:outlineLvl w:val="0"/>
        <w:rPr>
          <w:rFonts w:ascii="Times New Roman" w:eastAsia="Times New Roman" w:hAnsi="Times New Roman" w:cs="Times New Roman"/>
          <w:bCs/>
          <w:color w:val="000000"/>
          <w:kern w:val="36"/>
          <w:sz w:val="26"/>
          <w:szCs w:val="26"/>
        </w:rPr>
      </w:pPr>
      <w:r>
        <w:rPr>
          <w:rFonts w:ascii="Times New Roman" w:eastAsia="Times New Roman" w:hAnsi="Times New Roman" w:cs="Times New Roman"/>
          <w:bCs/>
          <w:color w:val="000000"/>
          <w:kern w:val="36"/>
          <w:sz w:val="26"/>
          <w:szCs w:val="26"/>
        </w:rPr>
        <w:t>Luật thuế TNDN số 71/2014/ QH13</w:t>
      </w:r>
    </w:p>
    <w:p w14:paraId="15F3ACA2" w14:textId="77777777" w:rsidR="00F97C5B" w:rsidRPr="00573B36" w:rsidRDefault="00F97C5B" w:rsidP="009B6995">
      <w:pPr>
        <w:pStyle w:val="ListParagraph"/>
        <w:numPr>
          <w:ilvl w:val="0"/>
          <w:numId w:val="2"/>
        </w:numPr>
        <w:shd w:val="clear" w:color="auto" w:fill="FFFFFF"/>
        <w:spacing w:after="0" w:line="360" w:lineRule="auto"/>
        <w:jc w:val="both"/>
        <w:outlineLvl w:val="0"/>
        <w:rPr>
          <w:rFonts w:ascii="Times New Roman" w:eastAsia="Times New Roman" w:hAnsi="Times New Roman" w:cs="Times New Roman"/>
          <w:bCs/>
          <w:color w:val="000000"/>
          <w:kern w:val="36"/>
          <w:sz w:val="26"/>
          <w:szCs w:val="26"/>
        </w:rPr>
      </w:pPr>
      <w:r>
        <w:rPr>
          <w:rFonts w:ascii="Times New Roman" w:eastAsia="Times New Roman" w:hAnsi="Times New Roman" w:cs="Times New Roman"/>
          <w:bCs/>
          <w:color w:val="000000"/>
          <w:kern w:val="36"/>
          <w:sz w:val="26"/>
          <w:szCs w:val="26"/>
        </w:rPr>
        <w:t xml:space="preserve">Thông tư </w:t>
      </w:r>
      <w:r w:rsidRPr="005D7B86">
        <w:rPr>
          <w:rFonts w:ascii="Times New Roman" w:eastAsia="Times New Roman" w:hAnsi="Times New Roman" w:cs="Times New Roman"/>
          <w:bCs/>
          <w:color w:val="000000"/>
          <w:kern w:val="36"/>
          <w:sz w:val="26"/>
          <w:szCs w:val="26"/>
        </w:rPr>
        <w:t>67/2022/TT-BTC</w:t>
      </w:r>
      <w:r>
        <w:rPr>
          <w:rFonts w:ascii="Times New Roman" w:eastAsia="Times New Roman" w:hAnsi="Times New Roman" w:cs="Times New Roman"/>
          <w:bCs/>
          <w:color w:val="000000"/>
          <w:kern w:val="36"/>
          <w:sz w:val="26"/>
          <w:szCs w:val="26"/>
        </w:rPr>
        <w:t xml:space="preserve"> về Hướng dẫn về nghĩa vụ thuế khi DN trích lập và sử dụng Quỹ phát triển khoa học công nghệ của Doanh nghiệp</w:t>
      </w:r>
    </w:p>
    <w:bookmarkEnd w:id="0"/>
    <w:p w14:paraId="403275A7" w14:textId="77777777" w:rsidR="00C8678B" w:rsidRPr="005D7B86" w:rsidRDefault="00273A6E" w:rsidP="00EA717B">
      <w:pPr>
        <w:spacing w:after="0" w:line="360" w:lineRule="auto"/>
        <w:jc w:val="both"/>
        <w:rPr>
          <w:rFonts w:ascii="Times New Roman" w:hAnsi="Times New Roman" w:cs="Times New Roman"/>
          <w:sz w:val="26"/>
          <w:szCs w:val="26"/>
        </w:rPr>
      </w:pPr>
    </w:p>
    <w:sectPr w:rsidR="00C8678B" w:rsidRPr="005D7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316D7A"/>
    <w:multiLevelType w:val="hybridMultilevel"/>
    <w:tmpl w:val="AA8E896C"/>
    <w:lvl w:ilvl="0" w:tplc="DB2A8A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606F35"/>
    <w:multiLevelType w:val="hybridMultilevel"/>
    <w:tmpl w:val="271EF534"/>
    <w:lvl w:ilvl="0" w:tplc="C1D20B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B86"/>
    <w:rsid w:val="001B32C2"/>
    <w:rsid w:val="00273A6E"/>
    <w:rsid w:val="0038065C"/>
    <w:rsid w:val="00573B36"/>
    <w:rsid w:val="005D7B86"/>
    <w:rsid w:val="007901CA"/>
    <w:rsid w:val="00944F8B"/>
    <w:rsid w:val="009B6995"/>
    <w:rsid w:val="00EA717B"/>
    <w:rsid w:val="00F97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1BFD1"/>
  <w15:chartTrackingRefBased/>
  <w15:docId w15:val="{663C88BC-AB28-422F-97E6-42F2E3AA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D7B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D7B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5D7B8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B8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7B86"/>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5D7B86"/>
    <w:rPr>
      <w:rFonts w:ascii="Times New Roman" w:eastAsia="Times New Roman" w:hAnsi="Times New Roman" w:cs="Times New Roman"/>
      <w:b/>
      <w:bCs/>
      <w:sz w:val="24"/>
      <w:szCs w:val="24"/>
    </w:rPr>
  </w:style>
  <w:style w:type="character" w:customStyle="1" w:styleId="text">
    <w:name w:val="text"/>
    <w:basedOn w:val="DefaultParagraphFont"/>
    <w:rsid w:val="005D7B86"/>
  </w:style>
  <w:style w:type="paragraph" w:styleId="NormalWeb">
    <w:name w:val="Normal (Web)"/>
    <w:basedOn w:val="Normal"/>
    <w:uiPriority w:val="99"/>
    <w:semiHidden/>
    <w:unhideWhenUsed/>
    <w:rsid w:val="005D7B8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7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835687">
      <w:bodyDiv w:val="1"/>
      <w:marLeft w:val="0"/>
      <w:marRight w:val="0"/>
      <w:marTop w:val="0"/>
      <w:marBottom w:val="0"/>
      <w:divBdr>
        <w:top w:val="none" w:sz="0" w:space="0" w:color="auto"/>
        <w:left w:val="none" w:sz="0" w:space="0" w:color="auto"/>
        <w:bottom w:val="none" w:sz="0" w:space="0" w:color="auto"/>
        <w:right w:val="none" w:sz="0" w:space="0" w:color="auto"/>
      </w:divBdr>
      <w:divsChild>
        <w:div w:id="943267838">
          <w:marLeft w:val="-1350"/>
          <w:marRight w:val="-1350"/>
          <w:marTop w:val="0"/>
          <w:marBottom w:val="0"/>
          <w:divBdr>
            <w:top w:val="none" w:sz="0" w:space="0" w:color="auto"/>
            <w:left w:val="none" w:sz="0" w:space="0" w:color="auto"/>
            <w:bottom w:val="none" w:sz="0" w:space="0" w:color="auto"/>
            <w:right w:val="none" w:sz="0" w:space="0" w:color="auto"/>
          </w:divBdr>
        </w:div>
        <w:div w:id="1990942042">
          <w:marLeft w:val="0"/>
          <w:marRight w:val="0"/>
          <w:marTop w:val="0"/>
          <w:marBottom w:val="150"/>
          <w:divBdr>
            <w:top w:val="single" w:sz="6" w:space="8" w:color="DDDDDD"/>
            <w:left w:val="none" w:sz="0" w:space="0" w:color="auto"/>
            <w:bottom w:val="single" w:sz="6" w:space="8" w:color="DDDDDD"/>
            <w:right w:val="none" w:sz="0" w:space="0" w:color="auto"/>
          </w:divBdr>
          <w:divsChild>
            <w:div w:id="1766338379">
              <w:marLeft w:val="0"/>
              <w:marRight w:val="0"/>
              <w:marTop w:val="0"/>
              <w:marBottom w:val="75"/>
              <w:divBdr>
                <w:top w:val="none" w:sz="0" w:space="0" w:color="auto"/>
                <w:left w:val="none" w:sz="0" w:space="0" w:color="auto"/>
                <w:bottom w:val="none" w:sz="0" w:space="0" w:color="auto"/>
                <w:right w:val="none" w:sz="0" w:space="0" w:color="auto"/>
              </w:divBdr>
            </w:div>
            <w:div w:id="1529370656">
              <w:marLeft w:val="0"/>
              <w:marRight w:val="0"/>
              <w:marTop w:val="0"/>
              <w:marBottom w:val="75"/>
              <w:divBdr>
                <w:top w:val="none" w:sz="0" w:space="0" w:color="auto"/>
                <w:left w:val="none" w:sz="0" w:space="0" w:color="auto"/>
                <w:bottom w:val="none" w:sz="0" w:space="0" w:color="auto"/>
                <w:right w:val="none" w:sz="0" w:space="0" w:color="auto"/>
              </w:divBdr>
            </w:div>
            <w:div w:id="1853178461">
              <w:marLeft w:val="0"/>
              <w:marRight w:val="0"/>
              <w:marTop w:val="0"/>
              <w:marBottom w:val="0"/>
              <w:divBdr>
                <w:top w:val="none" w:sz="0" w:space="0" w:color="auto"/>
                <w:left w:val="none" w:sz="0" w:space="0" w:color="auto"/>
                <w:bottom w:val="none" w:sz="0" w:space="0" w:color="auto"/>
                <w:right w:val="none" w:sz="0" w:space="0" w:color="auto"/>
              </w:divBdr>
            </w:div>
          </w:divsChild>
        </w:div>
        <w:div w:id="1771320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936</Words>
  <Characters>3316</Characters>
  <Application>Microsoft Office Word</Application>
  <DocSecurity>0</DocSecurity>
  <Lines>63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account</cp:lastModifiedBy>
  <cp:revision>6</cp:revision>
  <dcterms:created xsi:type="dcterms:W3CDTF">2022-11-08T13:46:00Z</dcterms:created>
  <dcterms:modified xsi:type="dcterms:W3CDTF">2022-11-17T02:10:00Z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032f96988d269e9ec2a96eacdcd09844db6de5ca2586a4010add035183cd6055</vt:lpwstr>
  </property>
</Properties>
</file>