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0CB7" w14:textId="5BD83E56" w:rsidR="00AF4FD8" w:rsidRPr="00B74990" w:rsidRDefault="004C618C" w:rsidP="00B74990">
      <w:pPr>
        <w:rPr>
          <w:rFonts w:ascii="Times New Roman" w:hAnsi="Times New Roman" w:cs="Times New Roman"/>
          <w:sz w:val="32"/>
          <w:szCs w:val="32"/>
        </w:rPr>
      </w:pPr>
      <w:r w:rsidRPr="00B74990">
        <w:rPr>
          <w:rFonts w:ascii="Times New Roman" w:hAnsi="Times New Roman" w:cs="Times New Roman"/>
          <w:sz w:val="32"/>
          <w:szCs w:val="32"/>
        </w:rPr>
        <w:t>HÓA ĐƠN ĐẦU VÀO</w:t>
      </w:r>
      <w:r w:rsidRPr="00B74990">
        <w:rPr>
          <w:rFonts w:ascii="Times New Roman" w:hAnsi="Times New Roman" w:cs="Times New Roman"/>
          <w:sz w:val="32"/>
          <w:szCs w:val="32"/>
        </w:rPr>
        <w:t xml:space="preserve"> </w:t>
      </w:r>
      <w:r w:rsidRPr="00B74990">
        <w:rPr>
          <w:rFonts w:ascii="Times New Roman" w:hAnsi="Times New Roman" w:cs="Times New Roman"/>
          <w:sz w:val="32"/>
          <w:szCs w:val="32"/>
        </w:rPr>
        <w:t>XUẤT SAI THỜI ĐIỂM:</w:t>
      </w:r>
      <w:r w:rsidRPr="00B74990">
        <w:rPr>
          <w:rFonts w:ascii="Times New Roman" w:hAnsi="Times New Roman" w:cs="Times New Roman"/>
          <w:sz w:val="32"/>
          <w:szCs w:val="32"/>
        </w:rPr>
        <w:t xml:space="preserve"> </w:t>
      </w:r>
      <w:r w:rsidRPr="00B74990">
        <w:rPr>
          <w:rFonts w:ascii="Times New Roman" w:hAnsi="Times New Roman" w:cs="Times New Roman"/>
          <w:sz w:val="32"/>
          <w:szCs w:val="32"/>
        </w:rPr>
        <w:t>QUY ĐỊNH, RỦI RO &amp; CÁCH XỬ LÝ</w:t>
      </w:r>
    </w:p>
    <w:p w14:paraId="59ADCF1D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t>I. QUY ĐỊNH THAM CHIẾU UPDATE</w:t>
      </w:r>
    </w:p>
    <w:p w14:paraId="7BEF825E" w14:textId="77777777" w:rsid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t xml:space="preserve">[1] Công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2731/TCT-CS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>:</w:t>
      </w:r>
    </w:p>
    <w:p w14:paraId="4C0A7FC1" w14:textId="4D4CA156" w:rsidR="003354BF" w:rsidRDefault="003354BF" w:rsidP="00B7499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0324F1">
          <w:rPr>
            <w:rStyle w:val="Hyperlink"/>
            <w:rFonts w:ascii="Times New Roman" w:hAnsi="Times New Roman" w:cs="Times New Roman"/>
            <w:sz w:val="28"/>
            <w:szCs w:val="28"/>
          </w:rPr>
          <w:t>https://thuvienphapluat.vn/cong-van/Doanh-nghiep/Cong-van-2731-TCT-CS-2016-ghi-nhan-chi-phi-doi-voi-hoa-don-lap-khong-dung-thoi-diem-371445.aspx</w:t>
        </w:r>
      </w:hyperlink>
    </w:p>
    <w:p w14:paraId="2E695380" w14:textId="40F83FF3" w:rsid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t>[2] C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6 Thông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78/2014/TT-BTC,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4 Thông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96/2015/TT-BTC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TNDN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>:</w:t>
      </w:r>
      <w:r w:rsidR="003354B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354BF" w:rsidRPr="000324F1">
          <w:rPr>
            <w:rStyle w:val="Hyperlink"/>
            <w:rFonts w:ascii="Times New Roman" w:hAnsi="Times New Roman" w:cs="Times New Roman"/>
            <w:sz w:val="28"/>
            <w:szCs w:val="28"/>
          </w:rPr>
          <w:t>https://thuvienphapluat.vn/van-ban/Doanh-nghiep/Thong-tu-78-2014-TT-BTC-huong-dan-218-2013-ND-CP-thi-hanh-Luat-Thue-thu-nhap-doanh-nghiep-236976.aspx</w:t>
        </w:r>
      </w:hyperlink>
    </w:p>
    <w:p w14:paraId="19B51903" w14:textId="1B4C8DF7" w:rsid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t xml:space="preserve">[3] Công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2866/CT-TTHT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Hà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3354BF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354BF" w:rsidRPr="000324F1">
          <w:rPr>
            <w:rStyle w:val="Hyperlink"/>
            <w:rFonts w:ascii="Times New Roman" w:hAnsi="Times New Roman" w:cs="Times New Roman"/>
            <w:sz w:val="28"/>
            <w:szCs w:val="28"/>
          </w:rPr>
          <w:t>https://thuvienphapluat.vn/cong-van/Thue-Phi-Le-Phi/Cong-van-2866-CT-TTHT-2019-tinh-vao-chi-phi-duoc-tru-voi-hoa-don-xuat-sai-thoi-diem-Ha-Noi-405858.aspx</w:t>
        </w:r>
      </w:hyperlink>
    </w:p>
    <w:p w14:paraId="22F25FA3" w14:textId="77777777" w:rsidR="003354BF" w:rsidRPr="00B74990" w:rsidRDefault="003354BF" w:rsidP="00B74990">
      <w:pPr>
        <w:rPr>
          <w:rFonts w:ascii="Times New Roman" w:hAnsi="Times New Roman" w:cs="Times New Roman"/>
          <w:sz w:val="28"/>
          <w:szCs w:val="28"/>
        </w:rPr>
      </w:pPr>
    </w:p>
    <w:p w14:paraId="538D54D1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t>II. RỦI RO HOÁ ĐƠN ĐẦU VÀO SAI THỜI ĐIỂM</w:t>
      </w:r>
    </w:p>
    <w:p w14:paraId="6FFBAFC3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t xml:space="preserve">[1]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Rủi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ro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GTGT:</w:t>
      </w:r>
    </w:p>
    <w:p w14:paraId="2592C3E0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khấu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GTGT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đòi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. Trường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chối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khấu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GTGT.</w:t>
      </w:r>
    </w:p>
    <w:p w14:paraId="0A7141EB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t xml:space="preserve">[2]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Rủi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ro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TNDN:</w:t>
      </w:r>
    </w:p>
    <w:p w14:paraId="35FA8A2C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TNDN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. Trường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TNDN.</w:t>
      </w:r>
    </w:p>
    <w:p w14:paraId="67937D7E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lastRenderedPageBreak/>
        <w:t xml:space="preserve">Công ty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TNDN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GTGT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>.</w:t>
      </w:r>
    </w:p>
    <w:p w14:paraId="20423DDE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t>III. XỬ LÝ HÓA ĐƠN ĐẦU VÀO XUẤT SAI THỜI ĐIỂM</w:t>
      </w:r>
    </w:p>
    <w:p w14:paraId="284C2120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khấu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>.</w:t>
      </w:r>
    </w:p>
    <w:p w14:paraId="0B9F9A4D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>:</w:t>
      </w:r>
    </w:p>
    <w:p w14:paraId="04EF2F01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thỏa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thỏa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>.</w:t>
      </w:r>
    </w:p>
    <w:p w14:paraId="66EAE139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>.</w:t>
      </w:r>
    </w:p>
    <w:p w14:paraId="5BCF39D2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mua</w:t>
      </w:r>
      <w:proofErr w:type="spellEnd"/>
    </w:p>
    <w:p w14:paraId="37EA1FA1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4: 02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sau</w:t>
      </w:r>
      <w:proofErr w:type="spellEnd"/>
    </w:p>
    <w:p w14:paraId="2BCC445F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t>Lưu ý:</w:t>
      </w:r>
    </w:p>
    <w:p w14:paraId="5667C508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dung “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>”.</w:t>
      </w:r>
    </w:p>
    <w:p w14:paraId="65FE998C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“Thay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>”.</w:t>
      </w:r>
    </w:p>
    <w:p w14:paraId="7355814C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t xml:space="preserve">Như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>:</w:t>
      </w:r>
    </w:p>
    <w:p w14:paraId="324E40F6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TNDN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khấu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GTGT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>.</w:t>
      </w:r>
    </w:p>
    <w:p w14:paraId="7F1EFD0C" w14:textId="77777777" w:rsidR="00B74990" w:rsidRPr="00B74990" w:rsidRDefault="00B74990" w:rsidP="00B74990">
      <w:pPr>
        <w:rPr>
          <w:rFonts w:ascii="Times New Roman" w:hAnsi="Times New Roman" w:cs="Times New Roman"/>
          <w:sz w:val="28"/>
          <w:szCs w:val="28"/>
        </w:rPr>
      </w:pPr>
      <w:r w:rsidRPr="00B749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90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B74990">
        <w:rPr>
          <w:rFonts w:ascii="Times New Roman" w:hAnsi="Times New Roman" w:cs="Times New Roman"/>
          <w:sz w:val="28"/>
          <w:szCs w:val="28"/>
        </w:rPr>
        <w:t>.</w:t>
      </w:r>
    </w:p>
    <w:p w14:paraId="4AFAA34F" w14:textId="77777777" w:rsidR="004C618C" w:rsidRPr="00B74990" w:rsidRDefault="004C618C" w:rsidP="00B74990">
      <w:pPr>
        <w:rPr>
          <w:rFonts w:ascii="Times New Roman" w:hAnsi="Times New Roman" w:cs="Times New Roman"/>
          <w:sz w:val="28"/>
          <w:szCs w:val="28"/>
        </w:rPr>
      </w:pPr>
    </w:p>
    <w:sectPr w:rsidR="004C618C" w:rsidRPr="00B74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yNTMxsjQ3MjM2NTVS0lEKTi0uzszPAykwrAUAOJz6JywAAAA="/>
  </w:docVars>
  <w:rsids>
    <w:rsidRoot w:val="004C618C"/>
    <w:rsid w:val="0033541C"/>
    <w:rsid w:val="003354BF"/>
    <w:rsid w:val="00481E7B"/>
    <w:rsid w:val="004C618C"/>
    <w:rsid w:val="00AF4FD8"/>
    <w:rsid w:val="00B7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7359D"/>
  <w15:chartTrackingRefBased/>
  <w15:docId w15:val="{4699A429-6CBE-4D6B-85DA-D9DBE47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1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1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1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1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1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54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4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8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18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7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2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49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83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6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56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0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49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76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cong-van/Thue-Phi-Le-Phi/Cong-van-2866-CT-TTHT-2019-tinh-vao-chi-phi-duoc-tru-voi-hoa-don-xuat-sai-thoi-diem-Ha-Noi-405858.aspx" TargetMode="External"/><Relationship Id="rId5" Type="http://schemas.openxmlformats.org/officeDocument/2006/relationships/hyperlink" Target="https://thuvienphapluat.vn/van-ban/Doanh-nghiep/Thong-tu-78-2014-TT-BTC-huong-dan-218-2013-ND-CP-thi-hanh-Luat-Thue-thu-nhap-doanh-nghiep-236976.aspx" TargetMode="External"/><Relationship Id="rId4" Type="http://schemas.openxmlformats.org/officeDocument/2006/relationships/hyperlink" Target="https://thuvienphapluat.vn/cong-van/Doanh-nghiep/Cong-van-2731-TCT-CS-2016-ghi-nhan-chi-phi-doi-voi-hoa-don-lap-khong-dung-thoi-diem-371445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Nhân Nguyễn</dc:creator>
  <cp:keywords/>
  <dc:description/>
  <cp:lastModifiedBy>Lê Nhân Nguyễn</cp:lastModifiedBy>
  <cp:revision>3</cp:revision>
  <dcterms:created xsi:type="dcterms:W3CDTF">2025-02-17T09:00:00Z</dcterms:created>
  <dcterms:modified xsi:type="dcterms:W3CDTF">2025-02-17T09:07:00Z</dcterms:modified>
</cp:coreProperties>
</file>