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694F" w14:textId="4E30AEFC" w:rsidR="00146877" w:rsidRPr="00146877" w:rsidRDefault="00146877" w:rsidP="00146877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673B4"/>
          <w:kern w:val="36"/>
          <w:sz w:val="26"/>
          <w:szCs w:val="26"/>
        </w:rPr>
      </w:pPr>
      <w:r w:rsidRPr="00146877">
        <w:rPr>
          <w:rFonts w:ascii="Times New Roman" w:eastAsia="Times New Roman" w:hAnsi="Times New Roman" w:cs="Times New Roman"/>
          <w:b/>
          <w:bCs/>
          <w:color w:val="2673B4"/>
          <w:kern w:val="36"/>
          <w:sz w:val="26"/>
          <w:szCs w:val="26"/>
        </w:rPr>
        <w:t>KẾ TOÁN THU HOẠT ĐỘNG DO NGÂN SÁCH NHÀ NƯỚC CẤP TẠI CÁC ĐƠN VỊ HÀNH CHÍNH, SỰ NGHIỆP</w:t>
      </w:r>
    </w:p>
    <w:p w14:paraId="18138BBE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b/>
          <w:bCs/>
          <w:color w:val="212529"/>
          <w:sz w:val="26"/>
          <w:szCs w:val="26"/>
        </w:rPr>
        <w:t>Nguyên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tắc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kế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toán</w:t>
      </w:r>
      <w:proofErr w:type="spellEnd"/>
    </w:p>
    <w:p w14:paraId="40E4B8B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Ngày</w:t>
      </w:r>
      <w:proofErr w:type="spellEnd"/>
      <w:r w:rsidRPr="00146877">
        <w:rPr>
          <w:color w:val="212529"/>
          <w:sz w:val="26"/>
          <w:szCs w:val="26"/>
        </w:rPr>
        <w:t xml:space="preserve"> 10/10/2017, </w:t>
      </w:r>
      <w:proofErr w:type="spellStart"/>
      <w:r w:rsidRPr="00146877">
        <w:rPr>
          <w:color w:val="212529"/>
          <w:sz w:val="26"/>
          <w:szCs w:val="26"/>
        </w:rPr>
        <w:t>Bộ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chính</w:t>
      </w:r>
      <w:proofErr w:type="spellEnd"/>
      <w:r w:rsidRPr="00146877">
        <w:rPr>
          <w:color w:val="212529"/>
          <w:sz w:val="26"/>
          <w:szCs w:val="26"/>
        </w:rPr>
        <w:t xml:space="preserve"> ban </w:t>
      </w:r>
      <w:proofErr w:type="spellStart"/>
      <w:r w:rsidRPr="00146877">
        <w:rPr>
          <w:color w:val="212529"/>
          <w:sz w:val="26"/>
          <w:szCs w:val="26"/>
        </w:rPr>
        <w:t>hành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107/2017/TT-BTC </w:t>
      </w:r>
      <w:proofErr w:type="spellStart"/>
      <w:r w:rsidRPr="00146877">
        <w:rPr>
          <w:color w:val="212529"/>
          <w:sz w:val="26"/>
          <w:szCs w:val="26"/>
        </w:rPr>
        <w:t>hướng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dẫn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chính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sự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nghiệp</w:t>
      </w:r>
      <w:proofErr w:type="spellEnd"/>
      <w:r w:rsidRPr="00146877">
        <w:rPr>
          <w:color w:val="212529"/>
          <w:sz w:val="26"/>
          <w:szCs w:val="26"/>
        </w:rPr>
        <w:t xml:space="preserve"> (HC-SN). </w:t>
      </w:r>
      <w:proofErr w:type="spellStart"/>
      <w:r w:rsidRPr="00146877">
        <w:rPr>
          <w:color w:val="212529"/>
          <w:sz w:val="26"/>
          <w:szCs w:val="26"/>
        </w:rPr>
        <w:t>Đây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bước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thay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đổi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lớn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HC-SN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hợp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Luật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Ngân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sách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nước</w:t>
      </w:r>
      <w:proofErr w:type="spellEnd"/>
      <w:r w:rsidRPr="00146877">
        <w:rPr>
          <w:color w:val="212529"/>
          <w:sz w:val="26"/>
          <w:szCs w:val="26"/>
        </w:rPr>
        <w:t xml:space="preserve"> (NSNN)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 2015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chủ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ngày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càng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HC-SN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16/2015/NĐ-CP. </w:t>
      </w:r>
      <w:proofErr w:type="spellStart"/>
      <w:r w:rsidRPr="00146877">
        <w:rPr>
          <w:color w:val="212529"/>
          <w:sz w:val="26"/>
          <w:szCs w:val="26"/>
        </w:rPr>
        <w:t>Thông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107/2017/TT-BTC </w:t>
      </w:r>
      <w:proofErr w:type="spellStart"/>
      <w:r w:rsidRPr="00146877">
        <w:rPr>
          <w:color w:val="212529"/>
          <w:sz w:val="26"/>
          <w:szCs w:val="26"/>
        </w:rPr>
        <w:t>áp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quan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nước</w:t>
      </w:r>
      <w:proofErr w:type="spellEnd"/>
      <w:r w:rsidRPr="00146877">
        <w:rPr>
          <w:color w:val="212529"/>
          <w:sz w:val="26"/>
          <w:szCs w:val="26"/>
        </w:rPr>
        <w:t xml:space="preserve">;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nghiệp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lập</w:t>
      </w:r>
      <w:proofErr w:type="spellEnd"/>
      <w:r w:rsidRPr="00146877">
        <w:rPr>
          <w:color w:val="212529"/>
          <w:sz w:val="26"/>
          <w:szCs w:val="26"/>
        </w:rPr>
        <w:t xml:space="preserve"> (SNCL), </w:t>
      </w:r>
      <w:proofErr w:type="spellStart"/>
      <w:r w:rsidRPr="00146877">
        <w:rPr>
          <w:color w:val="212529"/>
          <w:sz w:val="26"/>
          <w:szCs w:val="26"/>
        </w:rPr>
        <w:t>trừ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SNCL </w:t>
      </w:r>
      <w:proofErr w:type="spellStart"/>
      <w:r w:rsidRPr="00146877">
        <w:rPr>
          <w:color w:val="212529"/>
          <w:sz w:val="26"/>
          <w:szCs w:val="26"/>
        </w:rPr>
        <w:t>tự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đảm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bảo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đầu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vận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chính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doanh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nghiệp</w:t>
      </w:r>
      <w:proofErr w:type="spellEnd"/>
      <w:r w:rsidRPr="00146877">
        <w:rPr>
          <w:color w:val="212529"/>
          <w:sz w:val="26"/>
          <w:szCs w:val="26"/>
        </w:rPr>
        <w:t xml:space="preserve"> (DN), </w:t>
      </w:r>
      <w:proofErr w:type="spellStart"/>
      <w:r w:rsidRPr="00146877">
        <w:rPr>
          <w:color w:val="212529"/>
          <w:sz w:val="26"/>
          <w:szCs w:val="26"/>
        </w:rPr>
        <w:t>áp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DN </w:t>
      </w:r>
      <w:proofErr w:type="spellStart"/>
      <w:r w:rsidRPr="00146877">
        <w:rPr>
          <w:color w:val="212529"/>
          <w:sz w:val="26"/>
          <w:szCs w:val="26"/>
        </w:rPr>
        <w:t>khi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đáp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đủ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điều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1 </w:t>
      </w:r>
      <w:proofErr w:type="spellStart"/>
      <w:r w:rsidRPr="00146877">
        <w:rPr>
          <w:color w:val="212529"/>
          <w:sz w:val="26"/>
          <w:szCs w:val="26"/>
        </w:rPr>
        <w:t>điều</w:t>
      </w:r>
      <w:proofErr w:type="spellEnd"/>
      <w:r w:rsidRPr="00146877">
        <w:rPr>
          <w:color w:val="212529"/>
          <w:sz w:val="26"/>
          <w:szCs w:val="26"/>
        </w:rPr>
        <w:t xml:space="preserve"> 24 </w:t>
      </w:r>
      <w:proofErr w:type="spellStart"/>
      <w:r w:rsidRPr="00146877">
        <w:rPr>
          <w:color w:val="212529"/>
          <w:sz w:val="26"/>
          <w:szCs w:val="26"/>
        </w:rPr>
        <w:t>Nghị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16/2015/NĐ-CP </w:t>
      </w:r>
      <w:proofErr w:type="spellStart"/>
      <w:r w:rsidRPr="00146877">
        <w:rPr>
          <w:color w:val="212529"/>
          <w:sz w:val="26"/>
          <w:szCs w:val="26"/>
        </w:rPr>
        <w:t>quy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chủ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SNCL. </w:t>
      </w:r>
      <w:proofErr w:type="spellStart"/>
      <w:r w:rsidRPr="00146877">
        <w:rPr>
          <w:color w:val="212529"/>
          <w:sz w:val="26"/>
          <w:szCs w:val="26"/>
        </w:rPr>
        <w:t>Thông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này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nhiều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điểm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mới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quy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về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218E1F6A" w14:textId="3CB5C5AD" w:rsid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Theo </w:t>
      </w:r>
      <w:proofErr w:type="spellStart"/>
      <w:r w:rsidRPr="00146877">
        <w:rPr>
          <w:color w:val="212529"/>
          <w:sz w:val="26"/>
          <w:szCs w:val="26"/>
        </w:rPr>
        <w:t>quy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107/2017/TT-BTC,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(TK) 511-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loại</w:t>
      </w:r>
      <w:proofErr w:type="spellEnd"/>
      <w:r w:rsidRPr="00146877">
        <w:rPr>
          <w:color w:val="212529"/>
          <w:sz w:val="26"/>
          <w:szCs w:val="26"/>
        </w:rPr>
        <w:t xml:space="preserve"> 5. TK 511 </w:t>
      </w: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2 TK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2 (</w:t>
      </w:r>
      <w:proofErr w:type="spellStart"/>
      <w:r w:rsidRPr="00146877">
        <w:rPr>
          <w:color w:val="212529"/>
          <w:sz w:val="26"/>
          <w:szCs w:val="26"/>
        </w:rPr>
        <w:t>Bảng</w:t>
      </w:r>
      <w:proofErr w:type="spellEnd"/>
      <w:r w:rsidRPr="00146877">
        <w:rPr>
          <w:color w:val="212529"/>
          <w:sz w:val="26"/>
          <w:szCs w:val="26"/>
        </w:rPr>
        <w:t xml:space="preserve"> 1), </w:t>
      </w:r>
      <w:proofErr w:type="spellStart"/>
      <w:r w:rsidRPr="00146877">
        <w:rPr>
          <w:color w:val="212529"/>
          <w:sz w:val="26"/>
          <w:szCs w:val="26"/>
        </w:rPr>
        <w:t>gồm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246D464E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</w:p>
    <w:p w14:paraId="6457F96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TK 5111 -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: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tiếp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nhiệm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1E08B539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TK 5112 -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: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tiếp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nhiệm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4F1D1164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TK 5118 -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: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)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yêu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báo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Mục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lục</w:t>
      </w:r>
      <w:proofErr w:type="spellEnd"/>
      <w:r w:rsidRPr="00146877">
        <w:rPr>
          <w:color w:val="212529"/>
          <w:sz w:val="26"/>
          <w:szCs w:val="26"/>
        </w:rPr>
        <w:t xml:space="preserve"> NSNN.</w:t>
      </w:r>
    </w:p>
    <w:p w14:paraId="29310052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TK </w:t>
      </w:r>
      <w:proofErr w:type="spellStart"/>
      <w:r w:rsidRPr="00146877">
        <w:rPr>
          <w:color w:val="212529"/>
          <w:sz w:val="26"/>
          <w:szCs w:val="26"/>
        </w:rPr>
        <w:t>này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dùng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chính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sự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nghiệp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gọi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),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gồm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57E61F35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Thu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: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nhiệm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hỗ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tính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đảm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bảo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ngoài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nội</w:t>
      </w:r>
      <w:proofErr w:type="spellEnd"/>
      <w:r w:rsidRPr="00146877">
        <w:rPr>
          <w:color w:val="212529"/>
          <w:sz w:val="26"/>
          <w:szCs w:val="26"/>
        </w:rPr>
        <w:t xml:space="preserve"> dung </w:t>
      </w:r>
      <w:proofErr w:type="spellStart"/>
      <w:r w:rsidRPr="00146877">
        <w:rPr>
          <w:color w:val="212529"/>
          <w:sz w:val="26"/>
          <w:szCs w:val="26"/>
        </w:rPr>
        <w:t>nêu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trên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324810C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Thu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: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nhiệm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nhiệm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khoa </w:t>
      </w:r>
      <w:proofErr w:type="spellStart"/>
      <w:r w:rsidRPr="00146877">
        <w:rPr>
          <w:color w:val="212529"/>
          <w:sz w:val="26"/>
          <w:szCs w:val="26"/>
        </w:rPr>
        <w:t>học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nghệ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đối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tổ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chức</w:t>
      </w:r>
      <w:proofErr w:type="spellEnd"/>
      <w:r w:rsidRPr="00146877">
        <w:rPr>
          <w:color w:val="212529"/>
          <w:sz w:val="26"/>
          <w:szCs w:val="26"/>
        </w:rPr>
        <w:t xml:space="preserve"> khoa </w:t>
      </w:r>
      <w:proofErr w:type="spellStart"/>
      <w:r w:rsidRPr="00146877">
        <w:rPr>
          <w:color w:val="212529"/>
          <w:sz w:val="26"/>
          <w:szCs w:val="26"/>
        </w:rPr>
        <w:t>học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nghệ</w:t>
      </w:r>
      <w:proofErr w:type="spellEnd"/>
      <w:r w:rsidRPr="00146877">
        <w:rPr>
          <w:color w:val="212529"/>
          <w:sz w:val="26"/>
          <w:szCs w:val="26"/>
        </w:rPr>
        <w:t xml:space="preserve">);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mục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tiêu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quốc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</w:t>
      </w:r>
      <w:proofErr w:type="spellEnd"/>
      <w:r w:rsidRPr="00146877">
        <w:rPr>
          <w:color w:val="212529"/>
          <w:sz w:val="26"/>
          <w:szCs w:val="26"/>
        </w:rPr>
        <w:t xml:space="preserve">; </w:t>
      </w:r>
      <w:proofErr w:type="spellStart"/>
      <w:r w:rsidRPr="00146877">
        <w:rPr>
          <w:color w:val="212529"/>
          <w:sz w:val="26"/>
          <w:szCs w:val="26"/>
        </w:rPr>
        <w:t>chương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trình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đề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;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đối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thẩm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quyền</w:t>
      </w:r>
      <w:proofErr w:type="spellEnd"/>
      <w:r w:rsidRPr="00146877">
        <w:rPr>
          <w:color w:val="212529"/>
          <w:sz w:val="26"/>
          <w:szCs w:val="26"/>
        </w:rPr>
        <w:t xml:space="preserve">; </w:t>
      </w:r>
      <w:proofErr w:type="spellStart"/>
      <w:r w:rsidRPr="00146877">
        <w:rPr>
          <w:color w:val="212529"/>
          <w:sz w:val="26"/>
          <w:szCs w:val="26"/>
        </w:rPr>
        <w:t>vốn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triển</w:t>
      </w:r>
      <w:proofErr w:type="spellEnd"/>
      <w:r w:rsidRPr="00146877">
        <w:rPr>
          <w:color w:val="212529"/>
          <w:sz w:val="26"/>
          <w:szCs w:val="26"/>
        </w:rPr>
        <w:t xml:space="preserve">;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mua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sắm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trang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thiết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phục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nghiệp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thẩm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phê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duyệt</w:t>
      </w:r>
      <w:proofErr w:type="spellEnd"/>
      <w:r w:rsidRPr="00146877">
        <w:rPr>
          <w:color w:val="212529"/>
          <w:sz w:val="26"/>
          <w:szCs w:val="26"/>
        </w:rPr>
        <w:t xml:space="preserve">;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nhiệm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quan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thẩm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như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trợ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biếu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tặng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nhỏ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lẻ</w:t>
      </w:r>
      <w:proofErr w:type="spellEnd"/>
      <w:r w:rsidRPr="00146877">
        <w:rPr>
          <w:color w:val="212529"/>
          <w:sz w:val="26"/>
          <w:szCs w:val="26"/>
        </w:rPr>
        <w:t>...).</w:t>
      </w:r>
    </w:p>
    <w:p w14:paraId="11B8FBB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: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)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yêu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báo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Mục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lục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phần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009E39C9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Đối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rút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thì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trừ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một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hợp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sau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511B895E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lastRenderedPageBreak/>
        <w:t>Một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là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rút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về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mặt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ngân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sách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mặt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) </w:t>
      </w:r>
      <w:proofErr w:type="spellStart"/>
      <w:r w:rsidRPr="00146877">
        <w:rPr>
          <w:color w:val="212529"/>
          <w:sz w:val="26"/>
          <w:szCs w:val="26"/>
        </w:rPr>
        <w:t>thì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TK 337 -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(3371). Khi 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rút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ra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tính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thì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từ</w:t>
      </w:r>
      <w:proofErr w:type="spellEnd"/>
      <w:r w:rsidRPr="00146877">
        <w:rPr>
          <w:color w:val="212529"/>
          <w:sz w:val="26"/>
          <w:szCs w:val="26"/>
        </w:rPr>
        <w:t xml:space="preserve"> TK 337 -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 sang TK 511 -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2871C194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r w:rsidRPr="00146877">
        <w:rPr>
          <w:i/>
          <w:iCs/>
          <w:color w:val="212529"/>
          <w:sz w:val="26"/>
          <w:szCs w:val="26"/>
        </w:rPr>
        <w:t xml:space="preserve">Hai </w:t>
      </w:r>
      <w:proofErr w:type="spellStart"/>
      <w:r w:rsidRPr="00146877">
        <w:rPr>
          <w:i/>
          <w:iCs/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từ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dùng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mua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sắm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mua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vật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dùng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dần</w:t>
      </w:r>
      <w:proofErr w:type="spellEnd"/>
      <w:r w:rsidRPr="00146877">
        <w:rPr>
          <w:color w:val="212529"/>
          <w:sz w:val="26"/>
          <w:szCs w:val="26"/>
        </w:rPr>
        <w:t xml:space="preserve">) </w:t>
      </w:r>
      <w:proofErr w:type="spellStart"/>
      <w:r w:rsidRPr="00146877">
        <w:rPr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một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lần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nhưng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nhiều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dần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), do </w:t>
      </w:r>
      <w:proofErr w:type="spellStart"/>
      <w:r w:rsidRPr="00146877">
        <w:rPr>
          <w:color w:val="212529"/>
          <w:sz w:val="26"/>
          <w:szCs w:val="26"/>
        </w:rPr>
        <w:t>đó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ngay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điểm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tiếp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là</w:t>
      </w:r>
      <w:proofErr w:type="spellEnd"/>
      <w:r w:rsidRPr="00146877">
        <w:rPr>
          <w:color w:val="212529"/>
          <w:sz w:val="26"/>
          <w:szCs w:val="26"/>
        </w:rPr>
        <w:t xml:space="preserve"> 1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trước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chưa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.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hợp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sản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nguyên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vật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khi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vật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 ra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tính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mòn</w:t>
      </w:r>
      <w:proofErr w:type="spellEnd"/>
      <w:r w:rsidRPr="00146877">
        <w:rPr>
          <w:color w:val="212529"/>
          <w:sz w:val="26"/>
          <w:szCs w:val="26"/>
        </w:rPr>
        <w:t>/</w:t>
      </w:r>
      <w:proofErr w:type="spellStart"/>
      <w:r w:rsidRPr="00146877">
        <w:rPr>
          <w:color w:val="212529"/>
          <w:sz w:val="26"/>
          <w:szCs w:val="26"/>
        </w:rPr>
        <w:t>trích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khấu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thì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cuối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tính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mòn</w:t>
      </w:r>
      <w:proofErr w:type="spellEnd"/>
      <w:r w:rsidRPr="00146877">
        <w:rPr>
          <w:color w:val="212529"/>
          <w:sz w:val="26"/>
          <w:szCs w:val="26"/>
        </w:rPr>
        <w:t>/</w:t>
      </w:r>
      <w:proofErr w:type="spellStart"/>
      <w:r w:rsidRPr="00146877">
        <w:rPr>
          <w:color w:val="212529"/>
          <w:sz w:val="26"/>
          <w:szCs w:val="26"/>
        </w:rPr>
        <w:t>trích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khấu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vật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kỳ</w:t>
      </w:r>
      <w:proofErr w:type="spellEnd"/>
      <w:r w:rsidRPr="00146877">
        <w:rPr>
          <w:color w:val="212529"/>
          <w:sz w:val="26"/>
          <w:szCs w:val="26"/>
        </w:rPr>
        <w:t>).</w:t>
      </w:r>
    </w:p>
    <w:p w14:paraId="636ABA5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r w:rsidRPr="00146877">
        <w:rPr>
          <w:i/>
          <w:iCs/>
          <w:color w:val="212529"/>
          <w:sz w:val="26"/>
          <w:szCs w:val="26"/>
        </w:rPr>
        <w:t xml:space="preserve">Ba </w:t>
      </w:r>
      <w:proofErr w:type="spellStart"/>
      <w:r w:rsidRPr="00146877">
        <w:rPr>
          <w:i/>
          <w:iCs/>
          <w:color w:val="212529"/>
          <w:sz w:val="26"/>
          <w:szCs w:val="26"/>
        </w:rPr>
        <w:t>là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này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còn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dùng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xây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bản</w:t>
      </w:r>
      <w:proofErr w:type="spellEnd"/>
      <w:r w:rsidRPr="00146877">
        <w:rPr>
          <w:color w:val="212529"/>
          <w:sz w:val="26"/>
          <w:szCs w:val="26"/>
        </w:rPr>
        <w:t xml:space="preserve"> do </w:t>
      </w:r>
      <w:proofErr w:type="spellStart"/>
      <w:r w:rsidRPr="00146877">
        <w:rPr>
          <w:color w:val="212529"/>
          <w:sz w:val="26"/>
          <w:szCs w:val="26"/>
        </w:rPr>
        <w:t>nâng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xây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xây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bàn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chính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107C57E2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Bốn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là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trường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hợp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nước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miễn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giảm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học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chưa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sang </w:t>
      </w:r>
      <w:proofErr w:type="spellStart"/>
      <w:r w:rsidRPr="00146877">
        <w:rPr>
          <w:color w:val="212529"/>
          <w:sz w:val="26"/>
          <w:szCs w:val="26"/>
        </w:rPr>
        <w:t>giá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dịch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giáo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dục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đào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tạo</w:t>
      </w:r>
      <w:proofErr w:type="spellEnd"/>
      <w:r w:rsidRPr="00146877">
        <w:rPr>
          <w:color w:val="212529"/>
          <w:sz w:val="26"/>
          <w:szCs w:val="26"/>
        </w:rPr>
        <w:t xml:space="preserve">), </w:t>
      </w:r>
      <w:proofErr w:type="spellStart"/>
      <w:r w:rsidRPr="00146877">
        <w:rPr>
          <w:color w:val="212529"/>
          <w:sz w:val="26"/>
          <w:szCs w:val="26"/>
        </w:rPr>
        <w:t>thì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phần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học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miễn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giảm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dõi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cùng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chủ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nếu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sang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sau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tiếp</w:t>
      </w:r>
      <w:proofErr w:type="spellEnd"/>
      <w:r w:rsidRPr="00146877">
        <w:rPr>
          <w:color w:val="212529"/>
          <w:sz w:val="26"/>
          <w:szCs w:val="26"/>
        </w:rPr>
        <w:t xml:space="preserve">),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chủ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nếu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sang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sau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tiếp</w:t>
      </w:r>
      <w:proofErr w:type="spellEnd"/>
      <w:r w:rsidRPr="00146877">
        <w:rPr>
          <w:color w:val="212529"/>
          <w:sz w:val="26"/>
          <w:szCs w:val="26"/>
        </w:rPr>
        <w:t xml:space="preserve">)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0D442144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Năm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là</w:t>
      </w:r>
      <w:proofErr w:type="spellEnd"/>
      <w:r w:rsidRPr="00146877">
        <w:rPr>
          <w:i/>
          <w:iCs/>
          <w:color w:val="212529"/>
          <w:sz w:val="26"/>
          <w:szCs w:val="26"/>
        </w:rPr>
        <w:t>, </w:t>
      </w:r>
      <w:proofErr w:type="spellStart"/>
      <w:r w:rsidRPr="00146877">
        <w:rPr>
          <w:color w:val="212529"/>
          <w:sz w:val="26"/>
          <w:szCs w:val="26"/>
        </w:rPr>
        <w:t>kế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mở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sổ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hợp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yêu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cầu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lý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từng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từng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ngành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dõi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từng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loại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từng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09BCEEF8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b/>
          <w:bCs/>
          <w:color w:val="212529"/>
          <w:sz w:val="26"/>
          <w:szCs w:val="26"/>
        </w:rPr>
        <w:t>Hạch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toán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kế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toán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một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số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hoạt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động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kinh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tế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chủ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yếu</w:t>
      </w:r>
      <w:proofErr w:type="spellEnd"/>
    </w:p>
    <w:p w14:paraId="30285B97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Nhằm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giúp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HC-SN </w:t>
      </w:r>
      <w:proofErr w:type="spellStart"/>
      <w:r w:rsidRPr="00146877">
        <w:rPr>
          <w:color w:val="212529"/>
          <w:sz w:val="26"/>
          <w:szCs w:val="26"/>
        </w:rPr>
        <w:t>nắm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rõ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tắc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hạch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một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trình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bài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viết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thiệu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một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nghiệp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quan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trọng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sau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174E6BE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Thứ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nhất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khi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giao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368D36CF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008 -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(00821, 00822).</w:t>
      </w:r>
    </w:p>
    <w:p w14:paraId="627C7325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Thứ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hai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trường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hợp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rút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về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mặt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tiêu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về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5B5A4B6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Khi </w:t>
      </w:r>
      <w:proofErr w:type="spellStart"/>
      <w:r w:rsidRPr="00146877">
        <w:rPr>
          <w:color w:val="212529"/>
          <w:sz w:val="26"/>
          <w:szCs w:val="26"/>
        </w:rPr>
        <w:t>rút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về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mặt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320A8229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111 -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mặt</w:t>
      </w:r>
      <w:proofErr w:type="spellEnd"/>
    </w:p>
    <w:p w14:paraId="58302207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337 -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(3371).</w:t>
      </w:r>
    </w:p>
    <w:p w14:paraId="49965D27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Đồng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28808F9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008 -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(008211, 008221).</w:t>
      </w:r>
    </w:p>
    <w:p w14:paraId="671249D5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</w:t>
      </w:r>
      <w:proofErr w:type="spellStart"/>
      <w:r w:rsidRPr="00146877">
        <w:rPr>
          <w:color w:val="212529"/>
          <w:sz w:val="26"/>
          <w:szCs w:val="26"/>
        </w:rPr>
        <w:t>Trường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hợp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ngân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sách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43A75B6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112 -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ngân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hàng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nước</w:t>
      </w:r>
      <w:proofErr w:type="spellEnd"/>
    </w:p>
    <w:p w14:paraId="06695A67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337 -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(3371).</w:t>
      </w:r>
    </w:p>
    <w:p w14:paraId="12BDE3CF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lastRenderedPageBreak/>
        <w:t>Đồng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19D92D21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012 -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chi (</w:t>
      </w:r>
      <w:proofErr w:type="spellStart"/>
      <w:r w:rsidRPr="00146877">
        <w:rPr>
          <w:color w:val="212529"/>
          <w:sz w:val="26"/>
          <w:szCs w:val="26"/>
        </w:rPr>
        <w:t>nếu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chi),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</w:p>
    <w:p w14:paraId="3BA515E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013 -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nếu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>).</w:t>
      </w:r>
    </w:p>
    <w:p w14:paraId="4746A46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từ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quỹ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mặt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hoặc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của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ngân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sách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trước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7C1EAB15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141, 331, 332, 611...</w:t>
      </w:r>
    </w:p>
    <w:p w14:paraId="3F963B64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111, 112.</w:t>
      </w:r>
    </w:p>
    <w:p w14:paraId="0171416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Đồng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70E79AC2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012 -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chi (</w:t>
      </w:r>
      <w:proofErr w:type="spellStart"/>
      <w:r w:rsidRPr="00146877">
        <w:rPr>
          <w:color w:val="212529"/>
          <w:sz w:val="26"/>
          <w:szCs w:val="26"/>
        </w:rPr>
        <w:t>nếu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từ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thực</w:t>
      </w:r>
      <w:proofErr w:type="spellEnd"/>
      <w:r w:rsidRPr="00146877">
        <w:rPr>
          <w:color w:val="212529"/>
          <w:sz w:val="26"/>
          <w:szCs w:val="26"/>
        </w:rPr>
        <w:t xml:space="preserve"> chi).</w:t>
      </w:r>
    </w:p>
    <w:p w14:paraId="0028EC1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Khi </w:t>
      </w:r>
      <w:proofErr w:type="spellStart"/>
      <w:r w:rsidRPr="00146877">
        <w:rPr>
          <w:color w:val="212529"/>
          <w:sz w:val="26"/>
          <w:szCs w:val="26"/>
        </w:rPr>
        <w:t>đủ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điều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thanh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từ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sang TK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thanh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3CF68EE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337 -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</w:t>
      </w:r>
    </w:p>
    <w:p w14:paraId="59D58F4F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511 -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70E7ABE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Đối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với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từ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làm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thủ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tục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thanh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02BBA853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013- </w:t>
      </w:r>
      <w:proofErr w:type="spellStart"/>
      <w:r w:rsidRPr="00146877">
        <w:rPr>
          <w:color w:val="212529"/>
          <w:sz w:val="26"/>
          <w:szCs w:val="26"/>
        </w:rPr>
        <w:t>Lệnh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 xml:space="preserve"> (chi </w:t>
      </w:r>
      <w:proofErr w:type="spellStart"/>
      <w:r w:rsidRPr="00146877">
        <w:rPr>
          <w:color w:val="212529"/>
          <w:sz w:val="26"/>
          <w:szCs w:val="26"/>
        </w:rPr>
        <w:t>tiết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>).</w:t>
      </w:r>
    </w:p>
    <w:p w14:paraId="74352A2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Thứ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ba</w:t>
      </w:r>
      <w:proofErr w:type="spellEnd"/>
      <w:r w:rsidRPr="00146877">
        <w:rPr>
          <w:color w:val="212529"/>
          <w:sz w:val="26"/>
          <w:szCs w:val="26"/>
        </w:rPr>
        <w:t>, </w:t>
      </w:r>
      <w:proofErr w:type="spellStart"/>
      <w:r w:rsidRPr="00146877">
        <w:rPr>
          <w:color w:val="212529"/>
          <w:sz w:val="26"/>
          <w:szCs w:val="26"/>
        </w:rPr>
        <w:t>phản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ánh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trả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369E13C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611- Chi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</w:p>
    <w:p w14:paraId="69687C8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331, 332, 334...</w:t>
      </w:r>
    </w:p>
    <w:p w14:paraId="687EF1D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Rút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thanh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trả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69114715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331, 332, 334...</w:t>
      </w:r>
    </w:p>
    <w:p w14:paraId="56E0D961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511 -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0B003589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Đồng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22126D56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008 -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(chi </w:t>
      </w:r>
      <w:proofErr w:type="spellStart"/>
      <w:r w:rsidRPr="00146877">
        <w:rPr>
          <w:color w:val="212529"/>
          <w:sz w:val="26"/>
          <w:szCs w:val="26"/>
        </w:rPr>
        <w:t>tiết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>).</w:t>
      </w:r>
    </w:p>
    <w:p w14:paraId="37F9484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Thứ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tư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rút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ngân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người</w:t>
      </w:r>
      <w:proofErr w:type="spellEnd"/>
      <w:r w:rsidRPr="00146877">
        <w:rPr>
          <w:color w:val="212529"/>
          <w:sz w:val="26"/>
          <w:szCs w:val="26"/>
        </w:rPr>
        <w:t xml:space="preserve"> lao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71574D18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112 -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gửi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ngân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hàng</w:t>
      </w:r>
      <w:proofErr w:type="spellEnd"/>
      <w:r w:rsidRPr="00146877">
        <w:rPr>
          <w:color w:val="212529"/>
          <w:sz w:val="26"/>
          <w:szCs w:val="26"/>
        </w:rPr>
        <w:t xml:space="preserve">, Kho </w:t>
      </w:r>
      <w:proofErr w:type="spellStart"/>
      <w:r w:rsidRPr="00146877">
        <w:rPr>
          <w:color w:val="212529"/>
          <w:sz w:val="26"/>
          <w:szCs w:val="26"/>
        </w:rPr>
        <w:t>bạc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nước</w:t>
      </w:r>
      <w:proofErr w:type="spellEnd"/>
    </w:p>
    <w:p w14:paraId="3D35887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511 -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49C1ACC7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Đồng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260E1CD2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008 - </w:t>
      </w:r>
      <w:proofErr w:type="spellStart"/>
      <w:r w:rsidRPr="00146877">
        <w:rPr>
          <w:color w:val="212529"/>
          <w:sz w:val="26"/>
          <w:szCs w:val="26"/>
        </w:rPr>
        <w:t>Dự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chi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(chi </w:t>
      </w:r>
      <w:proofErr w:type="spellStart"/>
      <w:r w:rsidRPr="00146877">
        <w:rPr>
          <w:color w:val="212529"/>
          <w:sz w:val="26"/>
          <w:szCs w:val="26"/>
        </w:rPr>
        <w:t>tiết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tương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ứng</w:t>
      </w:r>
      <w:proofErr w:type="spellEnd"/>
      <w:r w:rsidRPr="00146877">
        <w:rPr>
          <w:color w:val="212529"/>
          <w:sz w:val="26"/>
          <w:szCs w:val="26"/>
        </w:rPr>
        <w:t>).</w:t>
      </w:r>
    </w:p>
    <w:p w14:paraId="0674658E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Thứ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năm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kế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toán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tiền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3A68B414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Khi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5DD145A5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111, 112</w:t>
      </w:r>
    </w:p>
    <w:p w14:paraId="4069B7B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337 -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(3371).</w:t>
      </w:r>
    </w:p>
    <w:p w14:paraId="32BA9D9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</w:t>
      </w:r>
      <w:proofErr w:type="spellStart"/>
      <w:r w:rsidRPr="00146877">
        <w:rPr>
          <w:color w:val="212529"/>
          <w:sz w:val="26"/>
          <w:szCs w:val="26"/>
        </w:rPr>
        <w:t>Xác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phải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nộp</w:t>
      </w:r>
      <w:proofErr w:type="spellEnd"/>
      <w:r w:rsidRPr="00146877">
        <w:rPr>
          <w:color w:val="212529"/>
          <w:sz w:val="26"/>
          <w:szCs w:val="26"/>
        </w:rPr>
        <w:t xml:space="preserve"> NSNN,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trên</w:t>
      </w:r>
      <w:proofErr w:type="spellEnd"/>
      <w:r w:rsidRPr="00146877">
        <w:rPr>
          <w:color w:val="212529"/>
          <w:sz w:val="26"/>
          <w:szCs w:val="26"/>
        </w:rPr>
        <w:t xml:space="preserve">...,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3C3D3C3E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TK337 -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</w:t>
      </w:r>
    </w:p>
    <w:p w14:paraId="143CF6CF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333, 336, </w:t>
      </w:r>
      <w:proofErr w:type="gramStart"/>
      <w:r w:rsidRPr="00146877">
        <w:rPr>
          <w:color w:val="212529"/>
          <w:sz w:val="26"/>
          <w:szCs w:val="26"/>
        </w:rPr>
        <w:t>338,...</w:t>
      </w:r>
      <w:proofErr w:type="gramEnd"/>
    </w:p>
    <w:p w14:paraId="01D52657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</w:t>
      </w:r>
      <w:proofErr w:type="spellStart"/>
      <w:r w:rsidRPr="00146877">
        <w:rPr>
          <w:color w:val="212529"/>
          <w:sz w:val="26"/>
          <w:szCs w:val="26"/>
        </w:rPr>
        <w:t>Số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lại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đơn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theo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quy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hiện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hành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692C817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018 -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lại</w:t>
      </w:r>
      <w:proofErr w:type="spellEnd"/>
      <w:r w:rsidRPr="00146877">
        <w:rPr>
          <w:color w:val="212529"/>
          <w:sz w:val="26"/>
          <w:szCs w:val="26"/>
        </w:rPr>
        <w:t xml:space="preserve"> (0181, 0182).</w:t>
      </w:r>
    </w:p>
    <w:p w14:paraId="6B7086D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146877">
        <w:rPr>
          <w:color w:val="212529"/>
          <w:sz w:val="26"/>
          <w:szCs w:val="26"/>
        </w:rPr>
        <w:t xml:space="preserve">- Khi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kinh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phí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lại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56F2665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141, 152, 153, 211, </w:t>
      </w:r>
      <w:proofErr w:type="gramStart"/>
      <w:r w:rsidRPr="00146877">
        <w:rPr>
          <w:color w:val="212529"/>
          <w:sz w:val="26"/>
          <w:szCs w:val="26"/>
        </w:rPr>
        <w:t>611,...</w:t>
      </w:r>
      <w:proofErr w:type="gramEnd"/>
    </w:p>
    <w:p w14:paraId="2C4DB95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TK 111, 112.</w:t>
      </w:r>
    </w:p>
    <w:p w14:paraId="3CCC9B0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lastRenderedPageBreak/>
        <w:t>Đồng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1064DDA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018 -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được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lại</w:t>
      </w:r>
      <w:proofErr w:type="spellEnd"/>
      <w:r w:rsidRPr="00146877">
        <w:rPr>
          <w:color w:val="212529"/>
          <w:sz w:val="26"/>
          <w:szCs w:val="26"/>
        </w:rPr>
        <w:t xml:space="preserve"> (0181, 0182).</w:t>
      </w:r>
    </w:p>
    <w:p w14:paraId="0898DFD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Đồng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thời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6BCED73F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337- </w:t>
      </w:r>
      <w:proofErr w:type="spellStart"/>
      <w:r w:rsidRPr="00146877">
        <w:rPr>
          <w:color w:val="212529"/>
          <w:sz w:val="26"/>
          <w:szCs w:val="26"/>
        </w:rPr>
        <w:t>Tạm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(3371)</w:t>
      </w:r>
    </w:p>
    <w:p w14:paraId="79247DED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366-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trước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chưa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</w:t>
      </w:r>
      <w:proofErr w:type="spellStart"/>
      <w:r w:rsidRPr="00146877">
        <w:rPr>
          <w:color w:val="212529"/>
          <w:sz w:val="26"/>
          <w:szCs w:val="26"/>
        </w:rPr>
        <w:t>nếu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dùng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để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mua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tài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cố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; </w:t>
      </w:r>
      <w:proofErr w:type="spellStart"/>
      <w:r w:rsidRPr="00146877">
        <w:rPr>
          <w:color w:val="212529"/>
          <w:sz w:val="26"/>
          <w:szCs w:val="26"/>
        </w:rPr>
        <w:t>nguyên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vật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nhập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</w:t>
      </w:r>
      <w:proofErr w:type="spellEnd"/>
      <w:r w:rsidRPr="00146877">
        <w:rPr>
          <w:color w:val="212529"/>
          <w:sz w:val="26"/>
          <w:szCs w:val="26"/>
        </w:rPr>
        <w:t>)</w:t>
      </w:r>
    </w:p>
    <w:p w14:paraId="07FFD8A0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511-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(5118) (</w:t>
      </w:r>
      <w:proofErr w:type="spellStart"/>
      <w:r w:rsidRPr="00146877">
        <w:rPr>
          <w:color w:val="212529"/>
          <w:sz w:val="26"/>
          <w:szCs w:val="26"/>
        </w:rPr>
        <w:t>nếu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dùng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thường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xuyên</w:t>
      </w:r>
      <w:proofErr w:type="spellEnd"/>
      <w:r w:rsidRPr="00146877">
        <w:rPr>
          <w:color w:val="212529"/>
          <w:sz w:val="26"/>
          <w:szCs w:val="26"/>
        </w:rPr>
        <w:t>).</w:t>
      </w:r>
    </w:p>
    <w:p w14:paraId="7D261869" w14:textId="15EB5F6E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Thứ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sáu</w:t>
      </w:r>
      <w:proofErr w:type="spellEnd"/>
      <w:r w:rsidRPr="00146877">
        <w:rPr>
          <w:i/>
          <w:iCs/>
          <w:color w:val="212529"/>
          <w:sz w:val="26"/>
          <w:szCs w:val="26"/>
        </w:rPr>
        <w:t>,</w:t>
      </w:r>
      <w:r w:rsidRPr="00146877">
        <w:rPr>
          <w:color w:val="212529"/>
          <w:sz w:val="26"/>
          <w:szCs w:val="26"/>
        </w:rPr>
        <w:t> </w:t>
      </w:r>
      <w:proofErr w:type="spellStart"/>
      <w:r w:rsidRPr="00146877">
        <w:rPr>
          <w:color w:val="212529"/>
          <w:sz w:val="26"/>
          <w:szCs w:val="26"/>
        </w:rPr>
        <w:t>cuối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căn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cứ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giá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trị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nguyên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vật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liệu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công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cụ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mua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sắm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bằng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nguồn</w:t>
      </w:r>
      <w:proofErr w:type="spellEnd"/>
      <w:r w:rsidRPr="00146877">
        <w:rPr>
          <w:color w:val="212529"/>
          <w:sz w:val="26"/>
          <w:szCs w:val="26"/>
        </w:rPr>
        <w:t xml:space="preserve"> NSNN </w:t>
      </w:r>
      <w:proofErr w:type="spellStart"/>
      <w:r w:rsidRPr="00146877">
        <w:rPr>
          <w:color w:val="212529"/>
          <w:sz w:val="26"/>
          <w:szCs w:val="26"/>
        </w:rPr>
        <w:t>đã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xuất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sử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dụng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cho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hành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chính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trong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từ</w:t>
      </w:r>
      <w:proofErr w:type="spellEnd"/>
      <w:r w:rsidRPr="00146877">
        <w:rPr>
          <w:color w:val="212529"/>
          <w:sz w:val="26"/>
          <w:szCs w:val="26"/>
        </w:rPr>
        <w:t xml:space="preserve"> TK 366 sang TK 511,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39836D61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366-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nhận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trước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chưa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(36612)</w:t>
      </w:r>
    </w:p>
    <w:p w14:paraId="0207F82F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511-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>.</w:t>
      </w:r>
    </w:p>
    <w:p w14:paraId="06C8E3AB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i/>
          <w:iCs/>
          <w:color w:val="212529"/>
          <w:sz w:val="26"/>
          <w:szCs w:val="26"/>
        </w:rPr>
        <w:t>Thứ</w:t>
      </w:r>
      <w:proofErr w:type="spellEnd"/>
      <w:r w:rsidRPr="00146877">
        <w:rPr>
          <w:i/>
          <w:iCs/>
          <w:color w:val="212529"/>
          <w:sz w:val="26"/>
          <w:szCs w:val="26"/>
        </w:rPr>
        <w:t xml:space="preserve"> </w:t>
      </w:r>
      <w:proofErr w:type="spellStart"/>
      <w:r w:rsidRPr="00146877">
        <w:rPr>
          <w:i/>
          <w:iCs/>
          <w:color w:val="212529"/>
          <w:sz w:val="26"/>
          <w:szCs w:val="26"/>
        </w:rPr>
        <w:t>bảy</w:t>
      </w:r>
      <w:proofErr w:type="spellEnd"/>
      <w:r w:rsidRPr="00146877">
        <w:rPr>
          <w:i/>
          <w:iCs/>
          <w:color w:val="212529"/>
          <w:sz w:val="26"/>
          <w:szCs w:val="26"/>
        </w:rPr>
        <w:t>, </w:t>
      </w:r>
      <w:proofErr w:type="spellStart"/>
      <w:r w:rsidRPr="00146877">
        <w:rPr>
          <w:color w:val="212529"/>
          <w:sz w:val="26"/>
          <w:szCs w:val="26"/>
        </w:rPr>
        <w:t>cuối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năm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kết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chuyển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các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khoản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thu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vào</w:t>
      </w:r>
      <w:proofErr w:type="spellEnd"/>
      <w:r w:rsidRPr="00146877">
        <w:rPr>
          <w:color w:val="212529"/>
          <w:sz w:val="26"/>
          <w:szCs w:val="26"/>
        </w:rPr>
        <w:t xml:space="preserve"> TK </w:t>
      </w:r>
      <w:proofErr w:type="spellStart"/>
      <w:r w:rsidRPr="00146877">
        <w:rPr>
          <w:color w:val="212529"/>
          <w:sz w:val="26"/>
          <w:szCs w:val="26"/>
        </w:rPr>
        <w:t>xác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quả</w:t>
      </w:r>
      <w:proofErr w:type="spellEnd"/>
      <w:r w:rsidRPr="00146877">
        <w:rPr>
          <w:color w:val="212529"/>
          <w:sz w:val="26"/>
          <w:szCs w:val="26"/>
        </w:rPr>
        <w:t xml:space="preserve">, </w:t>
      </w:r>
      <w:proofErr w:type="spellStart"/>
      <w:r w:rsidRPr="00146877">
        <w:rPr>
          <w:color w:val="212529"/>
          <w:sz w:val="26"/>
          <w:szCs w:val="26"/>
        </w:rPr>
        <w:t>ghi</w:t>
      </w:r>
      <w:proofErr w:type="spellEnd"/>
      <w:r w:rsidRPr="00146877">
        <w:rPr>
          <w:color w:val="212529"/>
          <w:sz w:val="26"/>
          <w:szCs w:val="26"/>
        </w:rPr>
        <w:t>:</w:t>
      </w:r>
    </w:p>
    <w:p w14:paraId="63D2BA43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Nợ</w:t>
      </w:r>
      <w:proofErr w:type="spellEnd"/>
      <w:r w:rsidRPr="00146877">
        <w:rPr>
          <w:color w:val="212529"/>
          <w:sz w:val="26"/>
          <w:szCs w:val="26"/>
        </w:rPr>
        <w:t xml:space="preserve"> TK 511- Thu </w:t>
      </w:r>
      <w:proofErr w:type="spellStart"/>
      <w:r w:rsidRPr="00146877">
        <w:rPr>
          <w:color w:val="212529"/>
          <w:sz w:val="26"/>
          <w:szCs w:val="26"/>
        </w:rPr>
        <w:t>hoạt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động</w:t>
      </w:r>
      <w:proofErr w:type="spellEnd"/>
      <w:r w:rsidRPr="00146877">
        <w:rPr>
          <w:color w:val="212529"/>
          <w:sz w:val="26"/>
          <w:szCs w:val="26"/>
        </w:rPr>
        <w:t xml:space="preserve"> do NSNN </w:t>
      </w:r>
      <w:proofErr w:type="spellStart"/>
      <w:r w:rsidRPr="00146877">
        <w:rPr>
          <w:color w:val="212529"/>
          <w:sz w:val="26"/>
          <w:szCs w:val="26"/>
        </w:rPr>
        <w:t>cấp</w:t>
      </w:r>
      <w:proofErr w:type="spellEnd"/>
    </w:p>
    <w:p w14:paraId="26409471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proofErr w:type="spellStart"/>
      <w:r w:rsidRPr="00146877">
        <w:rPr>
          <w:color w:val="212529"/>
          <w:sz w:val="26"/>
          <w:szCs w:val="26"/>
        </w:rPr>
        <w:t>Có</w:t>
      </w:r>
      <w:proofErr w:type="spellEnd"/>
      <w:r w:rsidRPr="00146877">
        <w:rPr>
          <w:color w:val="212529"/>
          <w:sz w:val="26"/>
          <w:szCs w:val="26"/>
        </w:rPr>
        <w:t xml:space="preserve"> TK 911- </w:t>
      </w:r>
      <w:proofErr w:type="spellStart"/>
      <w:r w:rsidRPr="00146877">
        <w:rPr>
          <w:color w:val="212529"/>
          <w:sz w:val="26"/>
          <w:szCs w:val="26"/>
        </w:rPr>
        <w:t>Xác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định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kết</w:t>
      </w:r>
      <w:proofErr w:type="spellEnd"/>
      <w:r w:rsidRPr="00146877">
        <w:rPr>
          <w:color w:val="212529"/>
          <w:sz w:val="26"/>
          <w:szCs w:val="26"/>
        </w:rPr>
        <w:t xml:space="preserve"> </w:t>
      </w:r>
      <w:proofErr w:type="spellStart"/>
      <w:r w:rsidRPr="00146877">
        <w:rPr>
          <w:color w:val="212529"/>
          <w:sz w:val="26"/>
          <w:szCs w:val="26"/>
        </w:rPr>
        <w:t>quả</w:t>
      </w:r>
      <w:proofErr w:type="spellEnd"/>
      <w:r w:rsidRPr="00146877">
        <w:rPr>
          <w:color w:val="212529"/>
          <w:sz w:val="26"/>
          <w:szCs w:val="26"/>
        </w:rPr>
        <w:t xml:space="preserve"> (9111).          </w:t>
      </w:r>
    </w:p>
    <w:p w14:paraId="168B8420" w14:textId="3DB390A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6"/>
          <w:szCs w:val="26"/>
        </w:rPr>
      </w:pPr>
      <w:proofErr w:type="spellStart"/>
      <w:r w:rsidRPr="00146877">
        <w:rPr>
          <w:b/>
          <w:bCs/>
          <w:color w:val="212529"/>
          <w:sz w:val="26"/>
          <w:szCs w:val="26"/>
        </w:rPr>
        <w:t>Tài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liệu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tham</w:t>
      </w:r>
      <w:proofErr w:type="spellEnd"/>
      <w:r w:rsidRPr="00146877">
        <w:rPr>
          <w:b/>
          <w:bCs/>
          <w:color w:val="212529"/>
          <w:sz w:val="26"/>
          <w:szCs w:val="26"/>
        </w:rPr>
        <w:t xml:space="preserve"> </w:t>
      </w:r>
      <w:proofErr w:type="spellStart"/>
      <w:r w:rsidRPr="00146877">
        <w:rPr>
          <w:b/>
          <w:bCs/>
          <w:color w:val="212529"/>
          <w:sz w:val="26"/>
          <w:szCs w:val="26"/>
        </w:rPr>
        <w:t>khảo</w:t>
      </w:r>
      <w:proofErr w:type="spellEnd"/>
      <w:r w:rsidRPr="00146877">
        <w:rPr>
          <w:b/>
          <w:bCs/>
          <w:color w:val="212529"/>
          <w:sz w:val="26"/>
          <w:szCs w:val="26"/>
        </w:rPr>
        <w:t>:</w:t>
      </w:r>
    </w:p>
    <w:p w14:paraId="38FFC16B" w14:textId="77777777" w:rsidR="00146877" w:rsidRPr="00146877" w:rsidRDefault="00146877" w:rsidP="00146877">
      <w:pPr>
        <w:rPr>
          <w:rFonts w:ascii="Times New Roman" w:eastAsia="Times New Roman" w:hAnsi="Times New Roman" w:cs="Times New Roman"/>
          <w:sz w:val="26"/>
          <w:szCs w:val="26"/>
        </w:rPr>
      </w:pPr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1. 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Quốc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hội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(2015),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Luật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Kế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toán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số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88/2015/QH13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ngày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20/11/2015;</w:t>
      </w:r>
    </w:p>
    <w:p w14:paraId="410DA4C8" w14:textId="77777777" w:rsidR="00146877" w:rsidRPr="00146877" w:rsidRDefault="00146877" w:rsidP="00146877">
      <w:pPr>
        <w:rPr>
          <w:rFonts w:ascii="Times New Roman" w:eastAsia="Times New Roman" w:hAnsi="Times New Roman" w:cs="Times New Roman"/>
          <w:sz w:val="26"/>
          <w:szCs w:val="26"/>
        </w:rPr>
      </w:pPr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2. 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Bộ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Tài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chính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(2017),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Thông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tư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số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107/2017/TT-BTC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hướng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dẫn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chế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độ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kế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toán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hành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chính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,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sự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nghiệp</w:t>
      </w:r>
      <w:proofErr w:type="spellEnd"/>
      <w:r w:rsidRPr="00146877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</w:rPr>
        <w:t>;</w:t>
      </w:r>
    </w:p>
    <w:p w14:paraId="2CC11F46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12529"/>
          <w:sz w:val="26"/>
          <w:szCs w:val="26"/>
        </w:rPr>
      </w:pPr>
    </w:p>
    <w:p w14:paraId="1DEFCB6C" w14:textId="77777777" w:rsidR="00146877" w:rsidRPr="00146877" w:rsidRDefault="00146877" w:rsidP="0014687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</w:p>
    <w:p w14:paraId="69B65750" w14:textId="77777777" w:rsidR="00FC4132" w:rsidRPr="00184CD7" w:rsidRDefault="00FC4132" w:rsidP="00FC4132">
      <w:pPr>
        <w:ind w:left="720"/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184CD7">
        <w:rPr>
          <w:rFonts w:ascii="Times New Roman" w:hAnsi="Times New Roman" w:cs="Times New Roman"/>
          <w:b/>
          <w:bCs/>
          <w:i/>
          <w:iCs/>
          <w:sz w:val="26"/>
          <w:szCs w:val="26"/>
        </w:rPr>
        <w:t>GV</w:t>
      </w:r>
      <w:r w:rsidRPr="00184CD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_Nguyễn Thị Đoan Trang</w:t>
      </w:r>
    </w:p>
    <w:p w14:paraId="782E8CE1" w14:textId="77777777" w:rsidR="00146877" w:rsidRPr="00146877" w:rsidRDefault="00146877" w:rsidP="00146877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146877" w:rsidRPr="001468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oNotDisplayPageBoundaries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77"/>
    <w:rsid w:val="00146877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60B48B"/>
  <w15:chartTrackingRefBased/>
  <w15:docId w15:val="{4F6346FD-8F72-F349-BE58-A457F66B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87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8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468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2024-06-16T03:26:00Z</dcterms:created>
  <dcterms:modified xsi:type="dcterms:W3CDTF">2024-06-16T03:33:00Z</dcterms:modified>
</cp:coreProperties>
</file>