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D7" w:rsidRPr="00571D02" w:rsidRDefault="008B26D7" w:rsidP="008B26D7">
      <w:pPr>
        <w:spacing w:after="80" w:line="240" w:lineRule="exact"/>
        <w:jc w:val="center"/>
        <w:rPr>
          <w:rStyle w:val="hps"/>
          <w:rFonts w:ascii="Times New Roman" w:hAnsi="Times New Roman"/>
          <w:b/>
          <w:color w:val="1F497D"/>
          <w:sz w:val="28"/>
          <w:szCs w:val="28"/>
        </w:rPr>
      </w:pPr>
      <w:r w:rsidRPr="00571D02">
        <w:rPr>
          <w:rStyle w:val="hps"/>
          <w:rFonts w:ascii="Times New Roman" w:hAnsi="Times New Roman"/>
          <w:b/>
          <w:color w:val="1F497D"/>
          <w:sz w:val="28"/>
          <w:szCs w:val="28"/>
        </w:rPr>
        <w:t xml:space="preserve">Hoàn thiện công tác kế toan quản trị chi phí và giá thành tại các doanh nghiệp viễn thồng Việt Nam </w:t>
      </w:r>
    </w:p>
    <w:p w:rsidR="008B26D7" w:rsidRPr="00571D02" w:rsidRDefault="008B26D7" w:rsidP="008B26D7">
      <w:pPr>
        <w:spacing w:after="80" w:line="240" w:lineRule="exact"/>
        <w:jc w:val="center"/>
        <w:rPr>
          <w:rStyle w:val="hps"/>
          <w:rFonts w:ascii="Times New Roman" w:hAnsi="Times New Roman"/>
          <w:b/>
          <w:color w:val="1F497D"/>
          <w:sz w:val="28"/>
          <w:szCs w:val="28"/>
        </w:rPr>
      </w:pPr>
    </w:p>
    <w:p w:rsidR="008B26D7" w:rsidRPr="00571D02" w:rsidRDefault="008B26D7" w:rsidP="008B26D7">
      <w:pPr>
        <w:spacing w:after="80" w:line="240" w:lineRule="exact"/>
        <w:jc w:val="center"/>
        <w:rPr>
          <w:rStyle w:val="hps"/>
          <w:rFonts w:ascii="Times New Roman" w:hAnsi="Times New Roman"/>
          <w:b/>
          <w:color w:val="1F497D"/>
          <w:sz w:val="28"/>
          <w:szCs w:val="28"/>
        </w:rPr>
      </w:pPr>
      <w:r w:rsidRPr="00571D02">
        <w:rPr>
          <w:rStyle w:val="hps"/>
          <w:rFonts w:ascii="Times New Roman" w:hAnsi="Times New Roman"/>
          <w:b/>
          <w:color w:val="1F497D"/>
          <w:sz w:val="28"/>
          <w:szCs w:val="28"/>
        </w:rPr>
        <w:t xml:space="preserve">Perfecting cost and price management accounting in Vietnamese </w:t>
      </w:r>
      <w:r>
        <w:rPr>
          <w:rStyle w:val="hps"/>
          <w:rFonts w:ascii="Times New Roman" w:hAnsi="Times New Roman"/>
          <w:b/>
          <w:color w:val="1F497D"/>
          <w:sz w:val="28"/>
          <w:szCs w:val="28"/>
        </w:rPr>
        <w:t>t</w:t>
      </w:r>
      <w:r w:rsidRPr="00571D02">
        <w:rPr>
          <w:rStyle w:val="hps"/>
          <w:rFonts w:ascii="Times New Roman" w:hAnsi="Times New Roman"/>
          <w:b/>
          <w:color w:val="1F497D"/>
          <w:sz w:val="28"/>
          <w:szCs w:val="28"/>
        </w:rPr>
        <w:t>elecommunications enterprises</w:t>
      </w:r>
    </w:p>
    <w:p w:rsidR="008B26D7" w:rsidRPr="00571D02" w:rsidRDefault="008B26D7" w:rsidP="008B26D7">
      <w:pPr>
        <w:spacing w:after="80" w:line="240" w:lineRule="exact"/>
        <w:jc w:val="center"/>
        <w:rPr>
          <w:rStyle w:val="hps"/>
          <w:rFonts w:ascii="Times New Roman" w:hAnsi="Times New Roman"/>
          <w:b/>
          <w:color w:val="1F497D"/>
          <w:sz w:val="28"/>
          <w:szCs w:val="28"/>
        </w:rPr>
      </w:pPr>
    </w:p>
    <w:p w:rsidR="008B26D7" w:rsidRPr="00571D02" w:rsidRDefault="008B26D7" w:rsidP="008B26D7">
      <w:pPr>
        <w:spacing w:after="80" w:line="240" w:lineRule="exact"/>
        <w:jc w:val="center"/>
        <w:rPr>
          <w:rFonts w:ascii="Times New Roman" w:hAnsi="Times New Roman"/>
          <w:b/>
          <w:color w:val="1F497D"/>
          <w:sz w:val="28"/>
          <w:szCs w:val="28"/>
          <w:vertAlign w:val="superscript"/>
        </w:rPr>
      </w:pPr>
      <w:r w:rsidRPr="00571D02">
        <w:rPr>
          <w:rFonts w:ascii="Times New Roman" w:hAnsi="Times New Roman"/>
          <w:b/>
          <w:color w:val="1F497D"/>
          <w:sz w:val="28"/>
          <w:szCs w:val="28"/>
        </w:rPr>
        <w:t>Ths. Nguyễn Thị Tấm</w:t>
      </w:r>
    </w:p>
    <w:p w:rsidR="008B26D7" w:rsidRPr="00571D02" w:rsidRDefault="008B26D7" w:rsidP="008B26D7">
      <w:pPr>
        <w:autoSpaceDE w:val="0"/>
        <w:autoSpaceDN w:val="0"/>
        <w:adjustRightInd w:val="0"/>
        <w:spacing w:after="80" w:line="240" w:lineRule="exact"/>
        <w:jc w:val="center"/>
        <w:rPr>
          <w:rFonts w:ascii="Times New Roman" w:hAnsi="Times New Roman"/>
          <w:b/>
          <w:color w:val="1F497D"/>
          <w:sz w:val="28"/>
          <w:szCs w:val="28"/>
        </w:rPr>
      </w:pPr>
      <w:r w:rsidRPr="00571D02">
        <w:rPr>
          <w:rFonts w:ascii="Times New Roman" w:hAnsi="Times New Roman"/>
          <w:b/>
          <w:color w:val="1F497D"/>
          <w:sz w:val="28"/>
          <w:szCs w:val="28"/>
        </w:rPr>
        <w:t>Khoa Kế toán, Đại học Duy Tân Đà Nẵng</w:t>
      </w:r>
    </w:p>
    <w:p w:rsidR="008B26D7" w:rsidRPr="00571D02" w:rsidRDefault="008B26D7" w:rsidP="008B26D7">
      <w:pPr>
        <w:autoSpaceDE w:val="0"/>
        <w:autoSpaceDN w:val="0"/>
        <w:adjustRightInd w:val="0"/>
        <w:spacing w:after="80" w:line="240" w:lineRule="exact"/>
        <w:jc w:val="both"/>
        <w:rPr>
          <w:rFonts w:ascii="Times New Roman" w:hAnsi="Times New Roman"/>
          <w:b/>
          <w:i/>
          <w:sz w:val="28"/>
          <w:szCs w:val="28"/>
        </w:rPr>
      </w:pPr>
      <w:r w:rsidRPr="00571D02">
        <w:rPr>
          <w:rFonts w:ascii="Times New Roman" w:hAnsi="Times New Roman"/>
          <w:b/>
          <w:i/>
          <w:sz w:val="28"/>
          <w:szCs w:val="28"/>
        </w:rPr>
        <w:t xml:space="preserve"> Tóm tắt</w:t>
      </w:r>
    </w:p>
    <w:p w:rsidR="008B26D7" w:rsidRPr="00571D02" w:rsidRDefault="008B26D7" w:rsidP="008B26D7">
      <w:pPr>
        <w:autoSpaceDE w:val="0"/>
        <w:autoSpaceDN w:val="0"/>
        <w:adjustRightInd w:val="0"/>
        <w:spacing w:after="0" w:line="240" w:lineRule="auto"/>
        <w:jc w:val="both"/>
        <w:rPr>
          <w:rFonts w:ascii="Times New Roman" w:hAnsi="Times New Roman"/>
          <w:i/>
          <w:sz w:val="28"/>
          <w:szCs w:val="28"/>
        </w:rPr>
      </w:pPr>
      <w:r>
        <w:rPr>
          <w:rFonts w:ascii="Times New Roman" w:hAnsi="Times New Roman"/>
          <w:i/>
          <w:sz w:val="28"/>
          <w:szCs w:val="28"/>
        </w:rPr>
        <w:t>Viễn thông</w:t>
      </w:r>
      <w:r w:rsidRPr="00571D02">
        <w:rPr>
          <w:rFonts w:ascii="Times New Roman" w:hAnsi="Times New Roman"/>
          <w:i/>
          <w:sz w:val="28"/>
          <w:szCs w:val="28"/>
        </w:rPr>
        <w:t xml:space="preserve"> là ngành kinh tế có sự tăng trưởng mạnh mẽ trong nền kinh tế nước ta. Hiện nay, với xu hướng giảm cước viễn thông liên tục, các doanh nghiệp  đang phải chịu sức ép rất lớn trong môi trường cạnh tranh khốc liệt. Ðể có thể cung cấp ra thị trường các dịch vụ viễn thông với chất lượng tốt và giá cả cạnh tranh, các nhà quản trị các </w:t>
      </w:r>
      <w:r>
        <w:rPr>
          <w:rFonts w:ascii="Times New Roman" w:hAnsi="Times New Roman"/>
          <w:i/>
          <w:sz w:val="28"/>
          <w:szCs w:val="28"/>
        </w:rPr>
        <w:t>doanh nghiệp</w:t>
      </w:r>
      <w:r w:rsidRPr="00571D02">
        <w:rPr>
          <w:rFonts w:ascii="Times New Roman" w:hAnsi="Times New Roman"/>
          <w:i/>
          <w:sz w:val="28"/>
          <w:szCs w:val="28"/>
        </w:rPr>
        <w:t xml:space="preserve"> viễn thông cần phải thực hiện tốt các chức năng quản trị của mình. Muốn làm được điều này thì các nhà quản trị cần có sự trợ giúp đắc lực của các thông tin </w:t>
      </w:r>
      <w:r>
        <w:rPr>
          <w:rFonts w:ascii="Times New Roman" w:hAnsi="Times New Roman"/>
          <w:i/>
          <w:sz w:val="28"/>
          <w:szCs w:val="28"/>
        </w:rPr>
        <w:t>kế toán quản trị</w:t>
      </w:r>
      <w:r w:rsidRPr="00571D02">
        <w:rPr>
          <w:rFonts w:ascii="Times New Roman" w:hAnsi="Times New Roman"/>
          <w:i/>
          <w:sz w:val="28"/>
          <w:szCs w:val="28"/>
        </w:rPr>
        <w:t xml:space="preserve"> nói chung và thông tin </w:t>
      </w:r>
      <w:r>
        <w:rPr>
          <w:rFonts w:ascii="Times New Roman" w:hAnsi="Times New Roman"/>
          <w:i/>
          <w:sz w:val="28"/>
          <w:szCs w:val="28"/>
        </w:rPr>
        <w:t>kế toán quản trị</w:t>
      </w:r>
      <w:r w:rsidRPr="00571D02">
        <w:rPr>
          <w:rFonts w:ascii="Times New Roman" w:hAnsi="Times New Roman"/>
          <w:i/>
          <w:sz w:val="28"/>
          <w:szCs w:val="28"/>
        </w:rPr>
        <w:t xml:space="preserve"> chi phí và giá thành nói riêng. Bài viết này tìm hiểu về công tác kế toán quản trị chi phí và giá thành  trong các doanh nghiệp viễn thông Việt Nam hiện nay và đề xuất các giải pháp hoàn thiện.</w:t>
      </w:r>
    </w:p>
    <w:p w:rsidR="008B26D7" w:rsidRPr="00571D02" w:rsidRDefault="008B26D7" w:rsidP="008B26D7">
      <w:pPr>
        <w:autoSpaceDE w:val="0"/>
        <w:autoSpaceDN w:val="0"/>
        <w:adjustRightInd w:val="0"/>
        <w:spacing w:after="80" w:line="240" w:lineRule="exact"/>
        <w:jc w:val="both"/>
        <w:rPr>
          <w:rFonts w:ascii="Times New Roman" w:hAnsi="Times New Roman"/>
          <w:b/>
          <w:i/>
          <w:sz w:val="28"/>
          <w:szCs w:val="28"/>
        </w:rPr>
      </w:pPr>
    </w:p>
    <w:p w:rsidR="008B26D7" w:rsidRPr="00571D02" w:rsidRDefault="008B26D7" w:rsidP="008B26D7">
      <w:pPr>
        <w:autoSpaceDE w:val="0"/>
        <w:autoSpaceDN w:val="0"/>
        <w:adjustRightInd w:val="0"/>
        <w:spacing w:after="0" w:line="240" w:lineRule="auto"/>
        <w:jc w:val="both"/>
        <w:rPr>
          <w:rStyle w:val="hps"/>
          <w:rFonts w:ascii="Times New Roman" w:hAnsi="Times New Roman"/>
          <w:i/>
          <w:sz w:val="28"/>
          <w:szCs w:val="28"/>
        </w:rPr>
      </w:pPr>
      <w:r w:rsidRPr="00571D02">
        <w:rPr>
          <w:rStyle w:val="hps"/>
          <w:rFonts w:ascii="Times New Roman" w:hAnsi="Times New Roman"/>
          <w:b/>
          <w:i/>
          <w:sz w:val="28"/>
          <w:szCs w:val="28"/>
        </w:rPr>
        <w:t xml:space="preserve">Từ khóa: </w:t>
      </w:r>
      <w:r w:rsidRPr="00571D02">
        <w:rPr>
          <w:rStyle w:val="hps"/>
          <w:rFonts w:ascii="Times New Roman" w:hAnsi="Times New Roman"/>
          <w:i/>
          <w:sz w:val="28"/>
          <w:szCs w:val="28"/>
        </w:rPr>
        <w:t xml:space="preserve"> viễn thông , kế toán quản trị, chi phí, giá thành, thực trạng, giải pháp</w:t>
      </w:r>
    </w:p>
    <w:p w:rsidR="008B26D7" w:rsidRPr="00571D02" w:rsidRDefault="008B26D7" w:rsidP="008B26D7">
      <w:pPr>
        <w:autoSpaceDE w:val="0"/>
        <w:autoSpaceDN w:val="0"/>
        <w:adjustRightInd w:val="0"/>
        <w:spacing w:after="0" w:line="240" w:lineRule="auto"/>
        <w:jc w:val="both"/>
        <w:rPr>
          <w:rStyle w:val="hps"/>
          <w:rFonts w:ascii="Times New Roman" w:hAnsi="Times New Roman"/>
          <w:b/>
          <w:i/>
          <w:sz w:val="28"/>
          <w:szCs w:val="28"/>
        </w:rPr>
      </w:pPr>
    </w:p>
    <w:p w:rsidR="008B26D7" w:rsidRPr="00571D02" w:rsidRDefault="008B26D7" w:rsidP="008B26D7">
      <w:pPr>
        <w:tabs>
          <w:tab w:val="left" w:pos="360"/>
        </w:tabs>
        <w:spacing w:after="80" w:line="240" w:lineRule="exact"/>
        <w:jc w:val="both"/>
        <w:rPr>
          <w:rStyle w:val="hps"/>
          <w:rFonts w:ascii="Times New Roman" w:hAnsi="Times New Roman"/>
          <w:b/>
          <w:color w:val="4F81BD" w:themeColor="accent1"/>
          <w:sz w:val="28"/>
          <w:szCs w:val="28"/>
        </w:rPr>
      </w:pPr>
      <w:r w:rsidRPr="00571D02">
        <w:rPr>
          <w:rStyle w:val="hps"/>
          <w:rFonts w:ascii="Times New Roman" w:hAnsi="Times New Roman"/>
          <w:b/>
          <w:color w:val="4F81BD" w:themeColor="accent1"/>
          <w:sz w:val="28"/>
          <w:szCs w:val="28"/>
        </w:rPr>
        <w:t>1. Lý do nghiên cứu</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Trong xu thế  kinh tế hội nhập, một mặt tạo cơ hội cho viễn thông Việt Nam theo kịp công nghệ hiện đại của viễn thông thế giới nhưng mặt khác cũng tạo ra sức ép cạnh tranh đòi hỏi các </w:t>
      </w:r>
      <w:r>
        <w:rPr>
          <w:rFonts w:ascii="Times New Roman" w:eastAsiaTheme="minorHAnsi" w:hAnsi="Times New Roman"/>
          <w:color w:val="000000"/>
          <w:sz w:val="28"/>
          <w:szCs w:val="28"/>
        </w:rPr>
        <w:t>doanh nghiệp</w:t>
      </w:r>
      <w:r w:rsidRPr="00571D02">
        <w:rPr>
          <w:rFonts w:ascii="Times New Roman" w:eastAsiaTheme="minorHAnsi" w:hAnsi="Times New Roman"/>
          <w:color w:val="000000"/>
          <w:sz w:val="28"/>
          <w:szCs w:val="28"/>
        </w:rPr>
        <w:t xml:space="preserve"> viễn thông Việt Nam phải nâng cao hiệu quả kinh doanh để nâng cao khả năng cạnh tranh trên thị trường. Kế toán quản trị chi phí và giá thành được xem như là công cụ nhằm theo dõi, kiểm soát chặt chẽ chi phí phát sinh giúp nhà quản trị sử dụng có hiệu quả các nguồn lực, động viên, khuyến khích được nhân viên hoạt động tích cực để đem lại nhiều nhất giá trị gia tăng cho khách hàng. Tuy nhiên, thông tin do hệ thống kế toán cung cấp phục vụ cho các yêu cầu quản trị trong các </w:t>
      </w:r>
      <w:r>
        <w:rPr>
          <w:rFonts w:ascii="Times New Roman" w:eastAsiaTheme="minorHAnsi" w:hAnsi="Times New Roman"/>
          <w:color w:val="000000"/>
          <w:sz w:val="28"/>
          <w:szCs w:val="28"/>
        </w:rPr>
        <w:t>doanh nghiệp</w:t>
      </w:r>
      <w:r w:rsidRPr="00571D02">
        <w:rPr>
          <w:rFonts w:ascii="Times New Roman" w:eastAsiaTheme="minorHAnsi" w:hAnsi="Times New Roman"/>
          <w:color w:val="000000"/>
          <w:sz w:val="28"/>
          <w:szCs w:val="28"/>
        </w:rPr>
        <w:t xml:space="preserve"> viễn thông còn khá mờ nhạt. Sự mờ nhạt của KTQT nói chung, KTQT chi phí và giá thành nói riêng đã ảnh hưởng không nhỏ đến hiệu quả quản trị </w:t>
      </w:r>
      <w:r>
        <w:rPr>
          <w:rFonts w:ascii="Times New Roman" w:eastAsiaTheme="minorHAnsi" w:hAnsi="Times New Roman"/>
          <w:color w:val="000000"/>
          <w:sz w:val="28"/>
          <w:szCs w:val="28"/>
        </w:rPr>
        <w:t>doanh nghiệp</w:t>
      </w:r>
      <w:r w:rsidRPr="00571D02">
        <w:rPr>
          <w:rFonts w:ascii="Times New Roman" w:eastAsiaTheme="minorHAnsi" w:hAnsi="Times New Roman"/>
          <w:color w:val="000000"/>
          <w:sz w:val="28"/>
          <w:szCs w:val="28"/>
        </w:rPr>
        <w:t xml:space="preserve"> và hiệu quả kinh doanh của các </w:t>
      </w:r>
      <w:r>
        <w:rPr>
          <w:rFonts w:ascii="Times New Roman" w:eastAsiaTheme="minorHAnsi" w:hAnsi="Times New Roman"/>
          <w:color w:val="000000"/>
          <w:sz w:val="28"/>
          <w:szCs w:val="28"/>
        </w:rPr>
        <w:t>doanh nghiệp</w:t>
      </w:r>
      <w:r w:rsidRPr="00571D02">
        <w:rPr>
          <w:rFonts w:ascii="Times New Roman" w:eastAsiaTheme="minorHAnsi" w:hAnsi="Times New Roman"/>
          <w:color w:val="000000"/>
          <w:sz w:val="28"/>
          <w:szCs w:val="28"/>
        </w:rPr>
        <w:t xml:space="preserve"> viễn thông. Chính vì vậy, việc nghiên cứu để đưa ra các giải pháp hoàn thiện công tác kế toán quản trị chi phí và giá thành  tại các viễn thông là rất cần thiết và cấp bách.</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color w:val="4F81BD" w:themeColor="accent1"/>
          <w:sz w:val="28"/>
          <w:szCs w:val="28"/>
        </w:rPr>
      </w:pPr>
      <w:r w:rsidRPr="00571D02">
        <w:rPr>
          <w:rFonts w:ascii="Times New Roman" w:eastAsiaTheme="minorHAnsi" w:hAnsi="Times New Roman"/>
          <w:b/>
          <w:color w:val="4F81BD" w:themeColor="accent1"/>
          <w:sz w:val="28"/>
          <w:szCs w:val="28"/>
        </w:rPr>
        <w:t>2. Cơ sở lý thuyết về công tác kế toán quản trị chi phí và giá thành trong các doanh nghiệp dịch vụ</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 xml:space="preserve">Mục tiêu của kế toán quản trị chi phí </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Mục đích chính của KTTC là để lập các báo cáo tài chính theo các chuẩn mực và nguyên tắc kế toán nhẳm cung cấp thông tin tin cậy cho người sử dụng. KTQT được thiết lập để đáp ứng nhu cầu thông tin cho quản trị doanh nghiệp. Với nhiệm vụ cung cấp thông tin về chi phí cho quá trình ra quyết định của các nhà quản trị,KTQT chi phí và giá thành tập trung vào các nội dung chủ yếu sau: </w:t>
      </w:r>
    </w:p>
    <w:p w:rsidR="008B26D7" w:rsidRPr="00571D02" w:rsidRDefault="008B26D7" w:rsidP="008B26D7">
      <w:pPr>
        <w:autoSpaceDE w:val="0"/>
        <w:autoSpaceDN w:val="0"/>
        <w:adjustRightInd w:val="0"/>
        <w:spacing w:after="0" w:line="240" w:lineRule="auto"/>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lastRenderedPageBreak/>
        <w:t xml:space="preserve">   - Xác định chi phí  và giá thành </w:t>
      </w:r>
    </w:p>
    <w:p w:rsidR="008B26D7" w:rsidRPr="00571D02" w:rsidRDefault="008B26D7" w:rsidP="008B26D7">
      <w:pPr>
        <w:autoSpaceDE w:val="0"/>
        <w:autoSpaceDN w:val="0"/>
        <w:adjustRightInd w:val="0"/>
        <w:spacing w:after="0" w:line="240" w:lineRule="auto"/>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 Kiểm soát và lập kế hoạch </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 Ðánh giá hiệu quả, ra quyết định của nhà quản trị</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bCs/>
          <w:i/>
          <w:iCs/>
          <w:color w:val="000000"/>
          <w:sz w:val="28"/>
          <w:szCs w:val="28"/>
        </w:rPr>
      </w:pPr>
      <w:r w:rsidRPr="00571D02">
        <w:rPr>
          <w:rFonts w:ascii="Times New Roman" w:eastAsiaTheme="minorHAnsi" w:hAnsi="Times New Roman"/>
          <w:b/>
          <w:sz w:val="28"/>
          <w:szCs w:val="28"/>
        </w:rPr>
        <w:t>P</w:t>
      </w:r>
      <w:r w:rsidRPr="00571D02">
        <w:rPr>
          <w:rFonts w:ascii="Times New Roman" w:eastAsiaTheme="minorHAnsi" w:hAnsi="Times New Roman"/>
          <w:b/>
          <w:bCs/>
          <w:color w:val="000000"/>
          <w:sz w:val="28"/>
          <w:szCs w:val="28"/>
        </w:rPr>
        <w:t>hân loại chi phí và giá thành trên góc độ kế toán quản trị</w:t>
      </w:r>
    </w:p>
    <w:p w:rsidR="008B26D7" w:rsidRPr="00571D02" w:rsidRDefault="008B26D7" w:rsidP="008B26D7">
      <w:pPr>
        <w:tabs>
          <w:tab w:val="left" w:pos="360"/>
        </w:tabs>
        <w:autoSpaceDE w:val="0"/>
        <w:autoSpaceDN w:val="0"/>
        <w:adjustRightInd w:val="0"/>
        <w:spacing w:after="0" w:line="240" w:lineRule="auto"/>
        <w:ind w:left="60"/>
        <w:jc w:val="both"/>
        <w:rPr>
          <w:rFonts w:ascii="Times New Roman" w:eastAsiaTheme="minorHAnsi" w:hAnsi="Times New Roman"/>
          <w:color w:val="000000"/>
          <w:sz w:val="28"/>
          <w:szCs w:val="28"/>
        </w:rPr>
      </w:pPr>
      <w:r w:rsidRPr="00571D02">
        <w:rPr>
          <w:rFonts w:ascii="Times New Roman" w:eastAsiaTheme="minorHAnsi" w:hAnsi="Times New Roman"/>
          <w:iCs/>
          <w:color w:val="000000"/>
          <w:sz w:val="28"/>
          <w:szCs w:val="28"/>
        </w:rPr>
        <w:t xml:space="preserve"> Để phục vụ cho thu thập thông tin về chi phí trong KTQT người ta thường sử dụng các cách phân loại </w:t>
      </w:r>
      <w:r w:rsidRPr="00571D02">
        <w:rPr>
          <w:rFonts w:ascii="Times New Roman" w:eastAsiaTheme="minorHAnsi" w:hAnsi="Times New Roman"/>
          <w:color w:val="000000"/>
          <w:sz w:val="28"/>
          <w:szCs w:val="28"/>
        </w:rPr>
        <w:t>như: Phân loại theo chức năng hoạt động, theo khả năng quy nạp chi phí vào các đối tượng chịu phí, theo mối quan hệ với báo cáo tài chính, theo cách ứng xử của chi phí, theo thẩm quyền ra quyết định, phân loại cho việc lập kế hoạch và ra quyết định,..</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iCs/>
          <w:color w:val="000000"/>
          <w:sz w:val="28"/>
          <w:szCs w:val="28"/>
        </w:rPr>
      </w:pPr>
      <w:r w:rsidRPr="00571D02">
        <w:rPr>
          <w:rFonts w:ascii="Times New Roman" w:eastAsiaTheme="minorHAnsi" w:hAnsi="Times New Roman"/>
          <w:iCs/>
          <w:color w:val="000000"/>
          <w:sz w:val="28"/>
          <w:szCs w:val="28"/>
        </w:rPr>
        <w:t xml:space="preserve"> Để phục vụ cho thu thập thông tin về giá thành trong KTQT người ta có thể  phân loại giá thành theo nhiều tiêu thức khác nhau như giá thành thực tế, giá thành kế hoạch, giá thành sản xuất, giá thành toàn bộ, v.v…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color w:val="000000"/>
          <w:sz w:val="28"/>
          <w:szCs w:val="28"/>
        </w:rPr>
      </w:pPr>
      <w:r w:rsidRPr="00571D02">
        <w:rPr>
          <w:rFonts w:ascii="Times New Roman" w:eastAsiaTheme="minorHAnsi" w:hAnsi="Times New Roman"/>
          <w:b/>
          <w:bCs/>
          <w:color w:val="000000"/>
          <w:sz w:val="28"/>
          <w:szCs w:val="28"/>
        </w:rPr>
        <w:t xml:space="preserve">Thu thập, xử lý, hệ thống hóa và cung cấp các thông tin về chi phí và giá thành </w:t>
      </w:r>
      <w:r w:rsidRPr="00571D02">
        <w:rPr>
          <w:rFonts w:ascii="Times New Roman" w:eastAsiaTheme="minorHAnsi" w:hAnsi="Times New Roman"/>
          <w:b/>
          <w:color w:val="000000"/>
          <w:sz w:val="28"/>
          <w:szCs w:val="28"/>
        </w:rPr>
        <w:t>trên góc độ kế toán quản trị</w:t>
      </w:r>
    </w:p>
    <w:p w:rsidR="008B26D7" w:rsidRPr="00571D02" w:rsidRDefault="008B26D7" w:rsidP="008B26D7">
      <w:pPr>
        <w:tabs>
          <w:tab w:val="left" w:pos="270"/>
          <w:tab w:val="left" w:pos="360"/>
        </w:tabs>
        <w:autoSpaceDE w:val="0"/>
        <w:autoSpaceDN w:val="0"/>
        <w:adjustRightInd w:val="0"/>
        <w:spacing w:after="0" w:line="240" w:lineRule="auto"/>
        <w:jc w:val="both"/>
        <w:rPr>
          <w:rFonts w:ascii="Times New Roman" w:eastAsiaTheme="minorHAnsi" w:hAnsi="Times New Roman"/>
          <w:iCs/>
          <w:color w:val="000000"/>
          <w:sz w:val="28"/>
          <w:szCs w:val="28"/>
        </w:rPr>
      </w:pPr>
      <w:r w:rsidRPr="00571D02">
        <w:rPr>
          <w:rFonts w:ascii="Times New Roman" w:eastAsiaTheme="minorHAnsi" w:hAnsi="Times New Roman"/>
          <w:b/>
          <w:color w:val="000000"/>
          <w:sz w:val="28"/>
          <w:szCs w:val="28"/>
        </w:rPr>
        <w:tab/>
      </w:r>
      <w:r w:rsidRPr="00571D02">
        <w:rPr>
          <w:rFonts w:ascii="Times New Roman" w:eastAsiaTheme="minorHAnsi" w:hAnsi="Times New Roman"/>
          <w:bCs/>
          <w:iCs/>
          <w:color w:val="000000"/>
          <w:sz w:val="28"/>
          <w:szCs w:val="28"/>
        </w:rPr>
        <w:t>Xác định giá phí sản phẩm, dịch vụ như việc xác định đối tượng hạch toán chi phí và đối tượng tính giá thành, kỳ hạch toán chi phí, các phương pháp tập hợp chi phí. Xây dựng dự toán chi phí kinh doanh như dự toán chi phí NVLTT, dự toán CPNCTT, dự toán CPSXC, dự toán CPBH và CPQLDN,sử dụng mô hình kế toán trách  nhiệm để đo lường kết quả hoạt động của các trung tâm trách nhiệm như trung tâm chi phí, trung tâm doanh thu, trung tâm đầu tư,.. p</w:t>
      </w:r>
      <w:r w:rsidRPr="00571D02">
        <w:rPr>
          <w:rFonts w:ascii="Times New Roman" w:eastAsiaTheme="minorHAnsi" w:hAnsi="Times New Roman"/>
          <w:iCs/>
          <w:color w:val="000000"/>
          <w:sz w:val="28"/>
          <w:szCs w:val="28"/>
        </w:rPr>
        <w:t>hân tích thông tin nhằm mục tiêu kiểm soát chi phí và đánh giá trách nhiệm của các bộ phận trong tổ chức, ứng dụng thông tin KTQT với việc ra quyết định.</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bCs/>
          <w:color w:val="4F81BD" w:themeColor="accent1"/>
          <w:sz w:val="28"/>
          <w:szCs w:val="28"/>
        </w:rPr>
      </w:pPr>
      <w:r>
        <w:rPr>
          <w:rFonts w:ascii="Times New Roman" w:eastAsiaTheme="minorHAnsi" w:hAnsi="Times New Roman"/>
          <w:b/>
          <w:bCs/>
          <w:color w:val="4F81BD" w:themeColor="accent1"/>
          <w:sz w:val="28"/>
          <w:szCs w:val="28"/>
        </w:rPr>
        <w:t>3</w:t>
      </w:r>
      <w:r w:rsidRPr="00571D02">
        <w:rPr>
          <w:rFonts w:ascii="Times New Roman" w:eastAsiaTheme="minorHAnsi" w:hAnsi="Times New Roman"/>
          <w:b/>
          <w:bCs/>
          <w:color w:val="4F81BD" w:themeColor="accent1"/>
          <w:sz w:val="28"/>
          <w:szCs w:val="28"/>
        </w:rPr>
        <w:t>. Thực trạng công táckế toán quản trị chi phí và giá thành tại các doanh nghiệp viễn thông ở Việt Nam hiện nay.</w:t>
      </w:r>
    </w:p>
    <w:p w:rsidR="008B26D7" w:rsidRPr="00571D02" w:rsidRDefault="008B26D7" w:rsidP="008B26D7">
      <w:pPr>
        <w:autoSpaceDE w:val="0"/>
        <w:autoSpaceDN w:val="0"/>
        <w:adjustRightInd w:val="0"/>
        <w:spacing w:after="0" w:line="240" w:lineRule="auto"/>
        <w:rPr>
          <w:rFonts w:ascii="Times New Roman" w:eastAsiaTheme="minorHAnsi" w:hAnsi="Times New Roman"/>
          <w:b/>
          <w:bCs/>
          <w:iCs/>
          <w:color w:val="000000"/>
          <w:sz w:val="28"/>
          <w:szCs w:val="28"/>
        </w:rPr>
      </w:pPr>
      <w:r w:rsidRPr="00571D02">
        <w:rPr>
          <w:rFonts w:ascii="Times New Roman" w:eastAsiaTheme="minorHAnsi" w:hAnsi="Times New Roman"/>
          <w:b/>
          <w:bCs/>
          <w:iCs/>
          <w:color w:val="000000"/>
          <w:sz w:val="28"/>
          <w:szCs w:val="28"/>
        </w:rPr>
        <w:t xml:space="preserve">Về đối tuợng kế toán chi phí sản xuất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Cs/>
          <w:iCs/>
          <w:color w:val="000000"/>
          <w:sz w:val="28"/>
          <w:szCs w:val="28"/>
        </w:rPr>
      </w:pPr>
      <w:r w:rsidRPr="00571D02">
        <w:rPr>
          <w:rFonts w:ascii="Times New Roman" w:eastAsiaTheme="minorHAnsi" w:hAnsi="Times New Roman"/>
          <w:bCs/>
          <w:iCs/>
          <w:color w:val="000000"/>
          <w:sz w:val="28"/>
          <w:szCs w:val="28"/>
        </w:rPr>
        <w:t xml:space="preserve">   Các </w:t>
      </w:r>
      <w:r>
        <w:rPr>
          <w:rFonts w:ascii="Times New Roman" w:eastAsiaTheme="minorHAnsi" w:hAnsi="Times New Roman"/>
          <w:bCs/>
          <w:iCs/>
          <w:color w:val="000000"/>
          <w:sz w:val="28"/>
          <w:szCs w:val="28"/>
        </w:rPr>
        <w:t>doanh nghiệp viễn thông</w:t>
      </w:r>
      <w:r w:rsidRPr="00571D02">
        <w:rPr>
          <w:rFonts w:ascii="Times New Roman" w:eastAsiaTheme="minorHAnsi" w:hAnsi="Times New Roman"/>
          <w:bCs/>
          <w:iCs/>
          <w:color w:val="000000"/>
          <w:sz w:val="28"/>
          <w:szCs w:val="28"/>
        </w:rPr>
        <w:t xml:space="preserve"> đã xác định đối tượng kế toán CPSX và đối tượng tính giá thành theo đúng quy định của chế độ kế toán do bộ tài chính ban hành và đã đáp ứng được yêu cầu kế toán chi phí và tính giá thành để xác định giá vốn hàng bán và lập báo cáo tài chính. Việc hạch toán chi phí theo từng loại dịch vụ hoặc theo từng chức năng kinh doanh vẫn chưa đáp ứng được yêu cầu của quản trị doanh nghiệp trong kiểm soát chi phí và đánh giá hiệu quả hoạt động của từng bộ phận hoặc từng trung tâm trách nhiệm.</w:t>
      </w:r>
    </w:p>
    <w:p w:rsidR="008B26D7" w:rsidRPr="00571D02" w:rsidRDefault="008B26D7" w:rsidP="008B26D7">
      <w:pPr>
        <w:autoSpaceDE w:val="0"/>
        <w:autoSpaceDN w:val="0"/>
        <w:adjustRightInd w:val="0"/>
        <w:spacing w:after="0" w:line="240" w:lineRule="auto"/>
        <w:rPr>
          <w:rFonts w:ascii="Times New Roman" w:eastAsiaTheme="minorHAnsi" w:hAnsi="Times New Roman"/>
          <w:b/>
          <w:bCs/>
          <w:iCs/>
          <w:color w:val="000000"/>
          <w:sz w:val="28"/>
          <w:szCs w:val="28"/>
        </w:rPr>
      </w:pPr>
      <w:r w:rsidRPr="00571D02">
        <w:rPr>
          <w:rFonts w:ascii="Times New Roman" w:eastAsiaTheme="minorHAnsi" w:hAnsi="Times New Roman"/>
          <w:b/>
          <w:bCs/>
          <w:iCs/>
          <w:color w:val="000000"/>
          <w:sz w:val="28"/>
          <w:szCs w:val="28"/>
        </w:rPr>
        <w:t xml:space="preserve">Về phân loại chi phí sản xuất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Cs/>
          <w:iCs/>
          <w:color w:val="000000"/>
          <w:sz w:val="28"/>
          <w:szCs w:val="28"/>
        </w:rPr>
      </w:pPr>
      <w:r w:rsidRPr="00571D02">
        <w:rPr>
          <w:rFonts w:ascii="Times New Roman" w:eastAsiaTheme="minorHAnsi" w:hAnsi="Times New Roman"/>
          <w:bCs/>
          <w:iCs/>
          <w:color w:val="000000"/>
          <w:sz w:val="28"/>
          <w:szCs w:val="28"/>
        </w:rPr>
        <w:t xml:space="preserve">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  mới chỉ sử dụng cách phân loại CPSX theo yếu tố và theo chức năng, chưa thực hiện phân loại CPSX theo quan hệ với mức hoạt động. Ðây là cách phân loại quan trọng để xác định điểm hòa vốn và khoảng an toàn  nhằm lựa chọn phương án kinh doanh tối ưu và phục vụ cho phân tích chi phí - khối lượng – lợi nhuận và ra các quyết định quản trị.</w:t>
      </w:r>
    </w:p>
    <w:p w:rsidR="008B26D7" w:rsidRPr="00571D02" w:rsidRDefault="008B26D7" w:rsidP="008B26D7">
      <w:pPr>
        <w:autoSpaceDE w:val="0"/>
        <w:autoSpaceDN w:val="0"/>
        <w:adjustRightInd w:val="0"/>
        <w:spacing w:after="0" w:line="240" w:lineRule="auto"/>
        <w:rPr>
          <w:rFonts w:ascii="Times New Roman" w:eastAsiaTheme="minorHAnsi" w:hAnsi="Times New Roman"/>
          <w:b/>
          <w:bCs/>
          <w:iCs/>
          <w:color w:val="000000"/>
          <w:sz w:val="28"/>
          <w:szCs w:val="28"/>
        </w:rPr>
      </w:pPr>
      <w:r w:rsidRPr="00571D02">
        <w:rPr>
          <w:rFonts w:ascii="Times New Roman" w:eastAsiaTheme="minorHAnsi" w:hAnsi="Times New Roman"/>
          <w:b/>
          <w:bCs/>
          <w:iCs/>
          <w:color w:val="000000"/>
          <w:sz w:val="28"/>
          <w:szCs w:val="28"/>
        </w:rPr>
        <w:t>Về phương pháp tính giá thành</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Cs/>
          <w:iCs/>
          <w:color w:val="000000"/>
          <w:sz w:val="28"/>
          <w:szCs w:val="28"/>
        </w:rPr>
      </w:pPr>
      <w:r w:rsidRPr="00571D02">
        <w:rPr>
          <w:rFonts w:ascii="Times New Roman" w:eastAsiaTheme="minorHAnsi" w:hAnsi="Times New Roman"/>
          <w:bCs/>
          <w:iCs/>
          <w:color w:val="000000"/>
          <w:sz w:val="28"/>
          <w:szCs w:val="28"/>
        </w:rPr>
        <w:t xml:space="preserve">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 đều áp dụng phương pháp tính giá thành theo quy định của Bộ Thông tin truyền thông. Phương pháp tính giá thành này dựa trên  tỷ lệ với doanh thu để xác định chi phí kinh doanh cho từng loại dịch vụ. Thêm vào đó, hầu hết các doanh nghiệp chỉ mới sử dụng phương pháp tính giá thành theo chi phí đầy đủ. Loại giá thành này chỉ có tác dụng trong việc xác định giá vốn hàng bán và </w:t>
      </w:r>
      <w:r w:rsidRPr="00571D02">
        <w:rPr>
          <w:rFonts w:ascii="Times New Roman" w:eastAsiaTheme="minorHAnsi" w:hAnsi="Times New Roman"/>
          <w:bCs/>
          <w:iCs/>
          <w:color w:val="000000"/>
          <w:sz w:val="28"/>
          <w:szCs w:val="28"/>
        </w:rPr>
        <w:lastRenderedPageBreak/>
        <w:t xml:space="preserve">xác định kết quả kinh doanh để lập báo cáo tài chính. Trong quản trị, để phục vụ cho đánh giá hiệu quả người ta phải sử dụng giá thành theo chi phí biến đổi.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bCs/>
          <w:iCs/>
          <w:color w:val="000000"/>
          <w:sz w:val="28"/>
          <w:szCs w:val="28"/>
        </w:rPr>
      </w:pPr>
      <w:r w:rsidRPr="00571D02">
        <w:rPr>
          <w:rFonts w:ascii="Times New Roman" w:eastAsiaTheme="minorHAnsi" w:hAnsi="Times New Roman"/>
          <w:b/>
          <w:bCs/>
          <w:iCs/>
          <w:color w:val="000000"/>
          <w:sz w:val="28"/>
          <w:szCs w:val="28"/>
        </w:rPr>
        <w:t xml:space="preserve">Về lập dự toán và cung cấp thông tin cho phân tích chênh lệch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Cs/>
          <w:iCs/>
          <w:color w:val="000000"/>
          <w:sz w:val="28"/>
          <w:szCs w:val="28"/>
        </w:rPr>
      </w:pPr>
      <w:r w:rsidRPr="00571D02">
        <w:rPr>
          <w:rFonts w:ascii="Times New Roman" w:eastAsiaTheme="minorHAnsi" w:hAnsi="Times New Roman"/>
          <w:bCs/>
          <w:iCs/>
          <w:color w:val="000000"/>
          <w:sz w:val="28"/>
          <w:szCs w:val="28"/>
        </w:rPr>
        <w:t xml:space="preserve">  Hiện nay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 lập dự toán theo đơn vị chức năng là chủ yếu,chưa có đơn vị nào lập dự toán theo trung tâm trách nhiệm hoặc phân khúc kinh doanh. Ðể phục vụ cho đánh giá hiệu quả, các doanh nghiệp cần trao quyền và phân công trách nhiệm cho các nhà quản trị cấp dưới và cần vận dụng hệ thống kế toán trách nhiệm.Các hoạt động xây dựng định mức và lập dự toán sẽ được thực hiện trên cơ sở các trung tâm trách nhiệm.Tuy nhiên, hiện nay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 chưa vận dụng mô hình kế toán trách nhiệm làm cơ sở cho lập dự toán và đánh giá hiệu quả hoạt động. Các định mức chi phí đã được các đơn vị sử dụng. Tuy nhiên, việc xây dựng định mức chưa có sự tham gia đầy đủ của các bộ phận có liên quan, đặc biệt là sự tham gia của bộ phận kỹ thuật và vật tư hoặc đại diện người lao động.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bCs/>
          <w:iCs/>
          <w:color w:val="000000"/>
          <w:sz w:val="28"/>
          <w:szCs w:val="28"/>
        </w:rPr>
      </w:pPr>
      <w:r w:rsidRPr="00571D02">
        <w:rPr>
          <w:rFonts w:ascii="Times New Roman" w:eastAsiaTheme="minorHAnsi" w:hAnsi="Times New Roman"/>
          <w:b/>
          <w:bCs/>
          <w:iCs/>
          <w:color w:val="000000"/>
          <w:sz w:val="28"/>
          <w:szCs w:val="28"/>
        </w:rPr>
        <w:t xml:space="preserve">Về các thông tin phục vụ cho việc ra quyết dịnh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Cs/>
          <w:iCs/>
          <w:color w:val="000000"/>
          <w:sz w:val="28"/>
          <w:szCs w:val="28"/>
        </w:rPr>
      </w:pPr>
      <w:r w:rsidRPr="00571D02">
        <w:rPr>
          <w:rFonts w:ascii="Times New Roman" w:eastAsiaTheme="minorHAnsi" w:hAnsi="Times New Roman"/>
          <w:bCs/>
          <w:iCs/>
          <w:color w:val="000000"/>
          <w:sz w:val="28"/>
          <w:szCs w:val="28"/>
        </w:rPr>
        <w:t xml:space="preserve">  Ðể cung cấp được thông tin cho việc ra quyết dịnh, hệ thống kế toán phải cung cấp được thông tin về chi phí phát sinh cho từng dự án hoặc từng bộ phận hay trung tâm trách nhiệm theo chi phí biến đổi và chi phí cố định. Do các công ty không phân loại chi phí theo mối quan hệ với sản lượng theo từng dự án, từng loại sản phẩm hoặc theo từng trung tâm trách nhiệm nên không cung cấp được thông tin cung cấp cho quản trị.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color w:val="4F81BD" w:themeColor="accent1"/>
          <w:sz w:val="28"/>
          <w:szCs w:val="28"/>
        </w:rPr>
      </w:pPr>
      <w:r w:rsidRPr="00571D02">
        <w:rPr>
          <w:rFonts w:ascii="Times New Roman" w:eastAsiaTheme="minorHAnsi" w:hAnsi="Times New Roman"/>
          <w:b/>
          <w:color w:val="4F81BD" w:themeColor="accent1"/>
          <w:sz w:val="28"/>
          <w:szCs w:val="28"/>
        </w:rPr>
        <w:t>4. Các giải pháp hoàn thiện công tác kế toán quản trị chi phí và giá thành tại các doanh nghiệp viễn thông di động Việt Nam hiện nay</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Từ những thực trạng trên và nhằm nâng cao hiệu quả quản lý kinh tế tài chính nói chung và công tác KTQT chi phí và giá thành nói riêng,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w:t>
      </w:r>
      <w:r w:rsidRPr="00571D02">
        <w:rPr>
          <w:rFonts w:ascii="Times New Roman" w:eastAsiaTheme="minorHAnsi" w:hAnsi="Times New Roman"/>
          <w:color w:val="000000"/>
          <w:sz w:val="28"/>
          <w:szCs w:val="28"/>
        </w:rPr>
        <w:t xml:space="preserve"> hiện nay cần hoàn thiện những vấn đề sau đây. </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Hoàn thiện đối tượng hạch toán chi phí theo yêu cầu quản trị doanh nghiệp</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Để đáp ứng yêu cầu thông tin cho quản trị DN, chi phí phát sinh ở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w:t>
      </w:r>
      <w:r w:rsidRPr="00571D02">
        <w:rPr>
          <w:rFonts w:ascii="Times New Roman" w:eastAsiaTheme="minorHAnsi" w:hAnsi="Times New Roman"/>
          <w:color w:val="000000"/>
          <w:sz w:val="28"/>
          <w:szCs w:val="28"/>
        </w:rPr>
        <w:t xml:space="preserve"> cần được hạch toán chi tiết theo từng bộ phận để sau đó hạch toán theo từng đối tượng hạch toán chi phí là các phòng ban hoặc trung tâm trách nhiệm.</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 xml:space="preserve">Hoàn thiện phân loại chi phí theo yêu cầu quản trị doanh nghiệp </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Để phục vụ cho việc ra quyết định quản trị </w:t>
      </w:r>
      <w:r>
        <w:rPr>
          <w:rFonts w:ascii="Times New Roman" w:eastAsiaTheme="minorHAnsi" w:hAnsi="Times New Roman"/>
          <w:color w:val="000000"/>
          <w:sz w:val="28"/>
          <w:szCs w:val="28"/>
        </w:rPr>
        <w:t>doanh nghiệp</w:t>
      </w:r>
      <w:r w:rsidRPr="00571D02">
        <w:rPr>
          <w:rFonts w:ascii="Times New Roman" w:eastAsiaTheme="minorHAnsi" w:hAnsi="Times New Roman"/>
          <w:color w:val="000000"/>
          <w:sz w:val="28"/>
          <w:szCs w:val="28"/>
        </w:rPr>
        <w:t>, các chi phí kinh doanh của các</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w:t>
      </w:r>
      <w:r w:rsidRPr="00571D02">
        <w:rPr>
          <w:rFonts w:ascii="Times New Roman" w:eastAsiaTheme="minorHAnsi" w:hAnsi="Times New Roman"/>
          <w:color w:val="000000"/>
          <w:sz w:val="28"/>
          <w:szCs w:val="28"/>
        </w:rPr>
        <w:t xml:space="preserve"> được phân loại thành chi phí cố định hay chi phí biến đổi phụ thuộcvào mục đích sử dụng thông tin chi phí của nhà quản trị.</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Hoàn thiện phương pháp tính giá thành theo yêu cầu quản trị doanh nghiệp</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Hiện nay, các </w:t>
      </w:r>
      <w:r>
        <w:rPr>
          <w:rFonts w:ascii="Times New Roman" w:eastAsiaTheme="minorHAnsi" w:hAnsi="Times New Roman"/>
          <w:bCs/>
          <w:iCs/>
          <w:color w:val="000000"/>
          <w:sz w:val="28"/>
          <w:szCs w:val="28"/>
        </w:rPr>
        <w:t>doanh nghiệp</w:t>
      </w:r>
      <w:r w:rsidRPr="00571D02">
        <w:rPr>
          <w:rFonts w:ascii="Times New Roman" w:eastAsiaTheme="minorHAnsi" w:hAnsi="Times New Roman"/>
          <w:bCs/>
          <w:iCs/>
          <w:color w:val="000000"/>
          <w:sz w:val="28"/>
          <w:szCs w:val="28"/>
        </w:rPr>
        <w:t xml:space="preserve"> viễn thông</w:t>
      </w:r>
      <w:r w:rsidRPr="00571D02">
        <w:rPr>
          <w:rFonts w:ascii="Times New Roman" w:eastAsiaTheme="minorHAnsi" w:hAnsi="Times New Roman"/>
          <w:color w:val="000000"/>
          <w:sz w:val="28"/>
          <w:szCs w:val="28"/>
        </w:rPr>
        <w:t xml:space="preserve"> đang áp dụng cách tính giá thành theo chi phí đầy đủ. Ðể đáp ứng yêu cầu quản trị DN, tác giả đề xuất sử dụng phương pháp tính giá thành theo chi phí biến đổi cho các dịch vụ. Do đặc điểm chi phí cố định chiếm phần lớn trong tổng giá thành dịch vụ viễn thông di động nên giá thành theo chi phí biến đổi của các dịch vụ viễn thông chỉ bao gồm chi phí cước kết nối. Căn cứ vào giá thành theo chi phí biến đổi, các nhà quản trị có thể xác định giá bán phù hợp để cạnh tranh với đối thủ trên thị trường. Giá thành theo chi phí biến đổi cũng là căn cứ để tính điểm hòa vốn phục vụ cho lựa chọn phương án kinh doanh tối ưu. </w:t>
      </w:r>
    </w:p>
    <w:p w:rsidR="008B26D7" w:rsidRPr="00571D02" w:rsidRDefault="008B26D7" w:rsidP="008B26D7">
      <w:pPr>
        <w:tabs>
          <w:tab w:val="left" w:pos="360"/>
        </w:tabs>
        <w:autoSpaceDE w:val="0"/>
        <w:autoSpaceDN w:val="0"/>
        <w:adjustRightInd w:val="0"/>
        <w:spacing w:after="0" w:line="240" w:lineRule="auto"/>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lastRenderedPageBreak/>
        <w:t>BẢNG TÍNH GIÁ THÀNH THEO CHI PHÍ BIẾN ĐỔI</w:t>
      </w:r>
    </w:p>
    <w:p w:rsidR="008B26D7" w:rsidRPr="00571D02" w:rsidRDefault="008B26D7" w:rsidP="008B26D7">
      <w:pPr>
        <w:tabs>
          <w:tab w:val="left" w:pos="360"/>
        </w:tabs>
        <w:autoSpaceDE w:val="0"/>
        <w:autoSpaceDN w:val="0"/>
        <w:adjustRightInd w:val="0"/>
        <w:spacing w:after="0" w:line="240" w:lineRule="auto"/>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Tháng …. Năm…</w:t>
      </w:r>
    </w:p>
    <w:tbl>
      <w:tblPr>
        <w:tblStyle w:val="TableGrid"/>
        <w:tblW w:w="0" w:type="auto"/>
        <w:tblInd w:w="288" w:type="dxa"/>
        <w:tblLook w:val="04A0"/>
      </w:tblPr>
      <w:tblGrid>
        <w:gridCol w:w="590"/>
        <w:gridCol w:w="5582"/>
        <w:gridCol w:w="2918"/>
      </w:tblGrid>
      <w:tr w:rsidR="008B26D7" w:rsidRPr="00571D02" w:rsidTr="001E0AED">
        <w:trPr>
          <w:trHeight w:val="323"/>
        </w:trPr>
        <w:tc>
          <w:tcPr>
            <w:tcW w:w="590"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TT</w:t>
            </w:r>
          </w:p>
        </w:tc>
        <w:tc>
          <w:tcPr>
            <w:tcW w:w="5582"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Chi phí</w:t>
            </w:r>
          </w:p>
        </w:tc>
        <w:tc>
          <w:tcPr>
            <w:tcW w:w="2918"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Số tiền</w:t>
            </w:r>
          </w:p>
        </w:tc>
      </w:tr>
      <w:tr w:rsidR="008B26D7" w:rsidRPr="00571D02" w:rsidTr="001E0AED">
        <w:tc>
          <w:tcPr>
            <w:tcW w:w="590"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1</w:t>
            </w:r>
          </w:p>
        </w:tc>
        <w:tc>
          <w:tcPr>
            <w:tcW w:w="5582"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Chi phí nguyên vật liệu trực tiếp</w:t>
            </w:r>
          </w:p>
        </w:tc>
        <w:tc>
          <w:tcPr>
            <w:tcW w:w="2918"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p>
        </w:tc>
      </w:tr>
      <w:tr w:rsidR="008B26D7" w:rsidRPr="00571D02" w:rsidTr="001E0AED">
        <w:tc>
          <w:tcPr>
            <w:tcW w:w="590"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2</w:t>
            </w:r>
          </w:p>
        </w:tc>
        <w:tc>
          <w:tcPr>
            <w:tcW w:w="5582"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Chi phí nhân công trực tiếp</w:t>
            </w:r>
          </w:p>
        </w:tc>
        <w:tc>
          <w:tcPr>
            <w:tcW w:w="2918"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p>
        </w:tc>
      </w:tr>
      <w:tr w:rsidR="008B26D7" w:rsidRPr="00571D02" w:rsidTr="001E0AED">
        <w:tc>
          <w:tcPr>
            <w:tcW w:w="590"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3</w:t>
            </w:r>
          </w:p>
        </w:tc>
        <w:tc>
          <w:tcPr>
            <w:tcW w:w="5582"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Chi phí cước kết nối</w:t>
            </w:r>
          </w:p>
        </w:tc>
        <w:tc>
          <w:tcPr>
            <w:tcW w:w="2918"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p>
        </w:tc>
      </w:tr>
      <w:tr w:rsidR="008B26D7" w:rsidRPr="00571D02" w:rsidTr="001E0AED">
        <w:tc>
          <w:tcPr>
            <w:tcW w:w="590"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4</w:t>
            </w:r>
          </w:p>
        </w:tc>
        <w:tc>
          <w:tcPr>
            <w:tcW w:w="5582"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Chi phí sản xuất chung biến đổi</w:t>
            </w:r>
          </w:p>
        </w:tc>
        <w:tc>
          <w:tcPr>
            <w:tcW w:w="2918"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p>
        </w:tc>
      </w:tr>
      <w:tr w:rsidR="008B26D7" w:rsidRPr="00571D02" w:rsidTr="001E0AED">
        <w:tc>
          <w:tcPr>
            <w:tcW w:w="590"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p>
        </w:tc>
        <w:tc>
          <w:tcPr>
            <w:tcW w:w="5582"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Cộng giá thành theo chi phí biến đổi</w:t>
            </w:r>
          </w:p>
        </w:tc>
        <w:tc>
          <w:tcPr>
            <w:tcW w:w="2918" w:type="dxa"/>
          </w:tcPr>
          <w:p w:rsidR="008B26D7" w:rsidRPr="00571D02" w:rsidRDefault="008B26D7" w:rsidP="001E0AED">
            <w:pPr>
              <w:tabs>
                <w:tab w:val="left" w:pos="360"/>
              </w:tabs>
              <w:autoSpaceDE w:val="0"/>
              <w:autoSpaceDN w:val="0"/>
              <w:adjustRightInd w:val="0"/>
              <w:jc w:val="center"/>
              <w:rPr>
                <w:rFonts w:ascii="Times New Roman" w:eastAsiaTheme="minorHAnsi" w:hAnsi="Times New Roman"/>
                <w:color w:val="000000"/>
                <w:sz w:val="28"/>
                <w:szCs w:val="28"/>
              </w:rPr>
            </w:pPr>
          </w:p>
        </w:tc>
      </w:tr>
    </w:tbl>
    <w:p w:rsidR="008B26D7" w:rsidRDefault="008B26D7" w:rsidP="008B26D7">
      <w:pPr>
        <w:tabs>
          <w:tab w:val="left" w:pos="360"/>
        </w:tabs>
        <w:autoSpaceDE w:val="0"/>
        <w:autoSpaceDN w:val="0"/>
        <w:adjustRightInd w:val="0"/>
        <w:spacing w:after="0" w:line="240" w:lineRule="auto"/>
        <w:jc w:val="both"/>
        <w:rPr>
          <w:rFonts w:ascii="Times New Roman" w:eastAsiaTheme="minorHAnsi" w:hAnsi="Times New Roman"/>
          <w:b/>
          <w:bCs/>
          <w:color w:val="000000"/>
          <w:sz w:val="28"/>
          <w:szCs w:val="28"/>
        </w:rPr>
      </w:pP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 xml:space="preserve">Xây dựng hệ thống kế toán trách nhiệm </w:t>
      </w:r>
    </w:p>
    <w:p w:rsidR="008B26D7"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Các trung tâm trách nhiệm là cơ sở để lập dự toán, hạch toán chi phí và đánh giá hiệu quả hoạt động.</w:t>
      </w:r>
    </w:p>
    <w:p w:rsidR="008B26D7" w:rsidRPr="00571D02" w:rsidRDefault="008B26D7" w:rsidP="008B26D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p>
    <w:p w:rsidR="008B26D7" w:rsidRPr="000710BD" w:rsidRDefault="008B26D7" w:rsidP="008B26D7">
      <w:pPr>
        <w:autoSpaceDE w:val="0"/>
        <w:autoSpaceDN w:val="0"/>
        <w:adjustRightInd w:val="0"/>
        <w:spacing w:after="0" w:line="240" w:lineRule="auto"/>
        <w:rPr>
          <w:rFonts w:ascii="Times New Roman" w:eastAsiaTheme="minorHAnsi" w:hAnsi="Times New Roman"/>
          <w:b/>
          <w:bCs/>
          <w:color w:val="000000"/>
          <w:sz w:val="26"/>
          <w:szCs w:val="26"/>
        </w:rPr>
      </w:pPr>
      <w:r w:rsidRPr="000710BD">
        <w:rPr>
          <w:rFonts w:ascii="Times New Roman" w:eastAsiaTheme="minorHAnsi" w:hAnsi="Times New Roman"/>
          <w:b/>
          <w:bCs/>
          <w:color w:val="000000"/>
          <w:sz w:val="26"/>
          <w:szCs w:val="26"/>
        </w:rPr>
        <w:t>CÁC LOẠI TRUNG TÂM TRÁCH NHIỆM TRONG CÁC DN VIỄN THÔNG</w:t>
      </w:r>
    </w:p>
    <w:tbl>
      <w:tblPr>
        <w:tblStyle w:val="TableGrid"/>
        <w:tblW w:w="9090" w:type="dxa"/>
        <w:tblInd w:w="288" w:type="dxa"/>
        <w:tblLayout w:type="fixed"/>
        <w:tblLook w:val="04A0"/>
      </w:tblPr>
      <w:tblGrid>
        <w:gridCol w:w="4458"/>
        <w:gridCol w:w="1170"/>
        <w:gridCol w:w="1122"/>
        <w:gridCol w:w="1170"/>
        <w:gridCol w:w="1170"/>
      </w:tblGrid>
      <w:tr w:rsidR="008B26D7" w:rsidRPr="00571D02" w:rsidTr="001E0AED">
        <w:tc>
          <w:tcPr>
            <w:tcW w:w="4458" w:type="dxa"/>
            <w:vMerge w:val="restart"/>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ĐƠN VỊ</w:t>
            </w:r>
          </w:p>
        </w:tc>
        <w:tc>
          <w:tcPr>
            <w:tcW w:w="4632" w:type="dxa"/>
            <w:gridSpan w:val="4"/>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TRUNG TÂM</w:t>
            </w:r>
          </w:p>
        </w:tc>
      </w:tr>
      <w:tr w:rsidR="008B26D7" w:rsidRPr="00571D02" w:rsidTr="001E0AED">
        <w:tc>
          <w:tcPr>
            <w:tcW w:w="4458" w:type="dxa"/>
            <w:vMerge/>
          </w:tcPr>
          <w:p w:rsidR="008B26D7" w:rsidRPr="00571D02" w:rsidRDefault="008B26D7" w:rsidP="001E0AED">
            <w:pPr>
              <w:autoSpaceDE w:val="0"/>
              <w:autoSpaceDN w:val="0"/>
              <w:adjustRightInd w:val="0"/>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Chi phí</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Doanh thu</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Lợi nhuận</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Đầu tư</w:t>
            </w: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Toàn Công ty</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khu vực/ Chi nhánh</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Phòng/ban chức năng</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Phòng kinh doanh, bán hàng</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chức năng</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phát triển dịch vụ</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tính cước</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thu cước</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quy hoạch phát triển mạng</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phát triển cơ sở hạ tầng</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điều hành thông tin</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Trung tâm dịch vụ GTGT</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r w:rsidR="008B26D7" w:rsidRPr="00571D02" w:rsidTr="001E0AED">
        <w:tc>
          <w:tcPr>
            <w:tcW w:w="4458" w:type="dxa"/>
          </w:tcPr>
          <w:p w:rsidR="008B26D7" w:rsidRPr="00571D02" w:rsidRDefault="008B26D7" w:rsidP="001E0AED">
            <w:pPr>
              <w:autoSpaceDE w:val="0"/>
              <w:autoSpaceDN w:val="0"/>
              <w:adjustRightInd w:val="0"/>
              <w:rPr>
                <w:rFonts w:ascii="Times New Roman" w:eastAsiaTheme="minorHAnsi" w:hAnsi="Times New Roman"/>
                <w:bCs/>
                <w:color w:val="000000"/>
                <w:sz w:val="28"/>
                <w:szCs w:val="28"/>
              </w:rPr>
            </w:pPr>
            <w:r w:rsidRPr="00571D02">
              <w:rPr>
                <w:rFonts w:ascii="Times New Roman" w:eastAsiaTheme="minorHAnsi" w:hAnsi="Times New Roman"/>
                <w:bCs/>
                <w:color w:val="000000"/>
                <w:sz w:val="28"/>
                <w:szCs w:val="28"/>
              </w:rPr>
              <w:t>Các trung tâm chức năng khác</w:t>
            </w: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r w:rsidRPr="00571D02">
              <w:rPr>
                <w:rFonts w:ascii="Times New Roman" w:eastAsiaTheme="minorHAnsi" w:hAnsi="Times New Roman"/>
                <w:b/>
                <w:bCs/>
                <w:color w:val="000000"/>
                <w:sz w:val="28"/>
                <w:szCs w:val="28"/>
              </w:rPr>
              <w:t>X</w:t>
            </w:r>
          </w:p>
        </w:tc>
        <w:tc>
          <w:tcPr>
            <w:tcW w:w="1122"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c>
          <w:tcPr>
            <w:tcW w:w="1170" w:type="dxa"/>
          </w:tcPr>
          <w:p w:rsidR="008B26D7" w:rsidRPr="00571D02" w:rsidRDefault="008B26D7" w:rsidP="001E0AED">
            <w:pPr>
              <w:autoSpaceDE w:val="0"/>
              <w:autoSpaceDN w:val="0"/>
              <w:adjustRightInd w:val="0"/>
              <w:jc w:val="center"/>
              <w:rPr>
                <w:rFonts w:ascii="Times New Roman" w:eastAsiaTheme="minorHAnsi" w:hAnsi="Times New Roman"/>
                <w:b/>
                <w:bCs/>
                <w:color w:val="000000"/>
                <w:sz w:val="28"/>
                <w:szCs w:val="28"/>
              </w:rPr>
            </w:pPr>
          </w:p>
        </w:tc>
      </w:tr>
    </w:tbl>
    <w:p w:rsidR="008B26D7" w:rsidRPr="00571D02" w:rsidRDefault="008B26D7" w:rsidP="008B26D7">
      <w:pPr>
        <w:autoSpaceDE w:val="0"/>
        <w:autoSpaceDN w:val="0"/>
        <w:adjustRightInd w:val="0"/>
        <w:spacing w:after="0" w:line="240" w:lineRule="auto"/>
        <w:rPr>
          <w:rFonts w:ascii="Times New Roman" w:eastAsiaTheme="minorHAnsi" w:hAnsi="Times New Roman"/>
          <w:b/>
          <w:bCs/>
          <w:color w:val="000000"/>
          <w:sz w:val="28"/>
          <w:szCs w:val="28"/>
        </w:rPr>
      </w:pPr>
    </w:p>
    <w:p w:rsidR="008B26D7" w:rsidRPr="00571D02" w:rsidRDefault="008B26D7" w:rsidP="008B26D7">
      <w:pPr>
        <w:autoSpaceDE w:val="0"/>
        <w:autoSpaceDN w:val="0"/>
        <w:adjustRightInd w:val="0"/>
        <w:spacing w:after="0" w:line="240" w:lineRule="auto"/>
        <w:jc w:val="both"/>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 xml:space="preserve">Xây dựng định mức chi phí, hoàn thiện việc lập dự toán và cung cấp thông tin cho việc ra quyết dịnh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Xây dựng định mức chi phí : Ðịnh mức là căn cứ để lập dự toán và phân tích chênh lệch chi phí. Việc xây dựng định mức có vai trò quan trọng trong lập kế hoạch và kiểm soát chi phí của các DN. Lập kế hoạch và kiểm soát chi phí chỉ có ý nghĩa khi dựa trên các định mức được xây dựng đúng đắn và phù hợp. Nếu sử dụng các định mức không phù hợp thì hoạt động lập kế hoạch và kiếm soát chỉ mang tính hình thức thậm chí bị phản tác dụng. Các định mức cần xây dựng trong DN gồm: định mức tiền lương cho từng công việc, định mức từng loại vật tư cho từng hoạt động, định mức xăng dầu, v.v...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 Hoàn thiện việc lập dự toán: Khi lập dự toán cần chú ý đến việc sử dụng định</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mức phù hợp và nên thực hiện quy trình tự lập dự toán từ dưới lên. Theo quy trình này, các đơn vị cấp cơ sở là các phòng, ban sẽ tự lập dự toán của đơn vị mình để </w:t>
      </w:r>
      <w:r w:rsidRPr="00571D02">
        <w:rPr>
          <w:rFonts w:ascii="Times New Roman" w:eastAsiaTheme="minorHAnsi" w:hAnsi="Times New Roman"/>
          <w:color w:val="000000"/>
          <w:sz w:val="28"/>
          <w:szCs w:val="28"/>
        </w:rPr>
        <w:lastRenderedPageBreak/>
        <w:t xml:space="preserve">gửi lên cấp trung gian. Các đơn vị dự toán cấp trung gian như các chi nhánh, trung tâm tổng hợp dự toán do các đơn vị cấp dưới gửi lên cùng với dự toán của bộ phận trung gian để gửi lên đơn vị cấp trên là Tổng công ty hoặc Công ty.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p>
    <w:p w:rsidR="008B26D7" w:rsidRPr="00571D02" w:rsidRDefault="008B26D7" w:rsidP="008B26D7">
      <w:pPr>
        <w:autoSpaceDE w:val="0"/>
        <w:autoSpaceDN w:val="0"/>
        <w:adjustRightInd w:val="0"/>
        <w:spacing w:after="0" w:line="240" w:lineRule="auto"/>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 xml:space="preserve">CÁC LOẠI DỰ TOÁN ĐƯỢC ĐẾ XUẤT LẬP Ở CÁC </w:t>
      </w:r>
      <w:r>
        <w:rPr>
          <w:rFonts w:ascii="Times New Roman" w:eastAsiaTheme="minorHAnsi" w:hAnsi="Times New Roman"/>
          <w:b/>
          <w:color w:val="000000"/>
          <w:sz w:val="28"/>
          <w:szCs w:val="28"/>
        </w:rPr>
        <w:t>DN VIỄN THÔNG</w:t>
      </w:r>
    </w:p>
    <w:tbl>
      <w:tblPr>
        <w:tblStyle w:val="TableGrid"/>
        <w:tblW w:w="0" w:type="auto"/>
        <w:tblLook w:val="04A0"/>
      </w:tblPr>
      <w:tblGrid>
        <w:gridCol w:w="4788"/>
        <w:gridCol w:w="4788"/>
      </w:tblGrid>
      <w:tr w:rsidR="008B26D7" w:rsidRPr="00571D02" w:rsidTr="001E0AED">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Loại dự toán</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Dự toán cần lập</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tiêu thụ</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sản xuất</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chi phí nguyên vật liệu trực tiếp</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mua vật liệu</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chi phí nhân công trực tiếp</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chi phí sản xuất chung</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r w:rsidR="008B26D7" w:rsidRPr="00571D02" w:rsidTr="001E0AED">
        <w:tc>
          <w:tcPr>
            <w:tcW w:w="4788" w:type="dxa"/>
          </w:tcPr>
          <w:p w:rsidR="008B26D7" w:rsidRPr="00571D02" w:rsidRDefault="008B26D7" w:rsidP="001E0AED">
            <w:pPr>
              <w:autoSpaceDE w:val="0"/>
              <w:autoSpaceDN w:val="0"/>
              <w:adjustRightInd w:val="0"/>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Dự toán chi phí bán hàng và QLDN</w:t>
            </w:r>
          </w:p>
        </w:tc>
        <w:tc>
          <w:tcPr>
            <w:tcW w:w="4788" w:type="dxa"/>
          </w:tcPr>
          <w:p w:rsidR="008B26D7" w:rsidRPr="00571D02" w:rsidRDefault="008B26D7" w:rsidP="001E0AED">
            <w:pPr>
              <w:autoSpaceDE w:val="0"/>
              <w:autoSpaceDN w:val="0"/>
              <w:adjustRightInd w:val="0"/>
              <w:jc w:val="center"/>
              <w:rPr>
                <w:rFonts w:ascii="Times New Roman" w:eastAsiaTheme="minorHAnsi" w:hAnsi="Times New Roman"/>
                <w:b/>
                <w:color w:val="000000"/>
                <w:sz w:val="28"/>
                <w:szCs w:val="28"/>
              </w:rPr>
            </w:pPr>
            <w:r w:rsidRPr="00571D02">
              <w:rPr>
                <w:rFonts w:ascii="Times New Roman" w:eastAsiaTheme="minorHAnsi" w:hAnsi="Times New Roman"/>
                <w:b/>
                <w:color w:val="000000"/>
                <w:sz w:val="28"/>
                <w:szCs w:val="28"/>
              </w:rPr>
              <w:t>X</w:t>
            </w:r>
          </w:p>
        </w:tc>
      </w:tr>
    </w:tbl>
    <w:p w:rsidR="008B26D7" w:rsidRPr="00571D02" w:rsidRDefault="008B26D7" w:rsidP="008B26D7">
      <w:pPr>
        <w:autoSpaceDE w:val="0"/>
        <w:autoSpaceDN w:val="0"/>
        <w:adjustRightInd w:val="0"/>
        <w:spacing w:after="0" w:line="240" w:lineRule="auto"/>
        <w:jc w:val="center"/>
        <w:rPr>
          <w:rFonts w:ascii="Times New Roman" w:eastAsiaTheme="minorHAnsi" w:hAnsi="Times New Roman"/>
          <w:b/>
          <w:color w:val="000000"/>
          <w:sz w:val="28"/>
          <w:szCs w:val="28"/>
        </w:rPr>
      </w:pPr>
    </w:p>
    <w:p w:rsidR="008B26D7" w:rsidRPr="00571D02" w:rsidRDefault="008B26D7" w:rsidP="008B26D7">
      <w:pPr>
        <w:tabs>
          <w:tab w:val="left" w:pos="2715"/>
        </w:tabs>
        <w:spacing w:before="60" w:after="60"/>
        <w:jc w:val="both"/>
        <w:rPr>
          <w:rFonts w:ascii="Times New Roman" w:hAnsi="Times New Roman"/>
          <w:b/>
          <w:iCs/>
          <w:color w:val="0070C0"/>
          <w:sz w:val="28"/>
          <w:szCs w:val="28"/>
        </w:rPr>
      </w:pPr>
      <w:r w:rsidRPr="00571D02">
        <w:rPr>
          <w:rFonts w:ascii="Times New Roman" w:hAnsi="Times New Roman"/>
          <w:b/>
          <w:iCs/>
          <w:color w:val="0070C0"/>
          <w:sz w:val="28"/>
          <w:szCs w:val="28"/>
        </w:rPr>
        <w:t>5. Kết luận:</w:t>
      </w:r>
    </w:p>
    <w:p w:rsidR="008B26D7" w:rsidRPr="00571D02" w:rsidRDefault="008B26D7" w:rsidP="008B26D7">
      <w:pPr>
        <w:tabs>
          <w:tab w:val="left" w:pos="2715"/>
        </w:tabs>
        <w:spacing w:before="60" w:after="60"/>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Các doanh nghiệp viễn thông Việt Nam đang đứng trước nhiều cơ hội phát triển cung như đang đối mặt với các thách thức cạnh trang rất mạnh mẽ, các doanh nghiệp viễn thông cần chuẩn bị cho mình các diều kiện cần thiết để tham gia vào cuộc cạnh tranh công bằng với các doanh nghiệp quốc tế. Ngoài việc trang bị các công nghệ hiện đại theo xu hướng phát triển công nghệ của thế giới, các doanh nghiệp viễ</w:t>
      </w:r>
      <w:r>
        <w:rPr>
          <w:rFonts w:ascii="Times New Roman" w:eastAsiaTheme="minorHAnsi" w:hAnsi="Times New Roman"/>
          <w:color w:val="000000"/>
          <w:sz w:val="28"/>
          <w:szCs w:val="28"/>
        </w:rPr>
        <w:t xml:space="preserve">n thông </w:t>
      </w:r>
      <w:r w:rsidRPr="00571D02">
        <w:rPr>
          <w:rFonts w:ascii="Times New Roman" w:eastAsiaTheme="minorHAnsi" w:hAnsi="Times New Roman"/>
          <w:color w:val="000000"/>
          <w:sz w:val="28"/>
          <w:szCs w:val="28"/>
        </w:rPr>
        <w:t>cần phải trang bị các kiến thức quản trị hiện đại để có thể cạnh tranh được với các doanh nghiệp nước ngoài. Kế toán quản trị chi phí và giá thành là nguồn cung cấp thông tin quan trọng cho quản trị doanh nghiệp cần phải được hoàn thiện để hỗ trợ cho các nhà quản trị trong cuộc cạnh tranh này.</w:t>
      </w:r>
    </w:p>
    <w:p w:rsidR="008B26D7" w:rsidRPr="00571D02" w:rsidRDefault="008B26D7" w:rsidP="008B26D7">
      <w:pPr>
        <w:tabs>
          <w:tab w:val="left" w:pos="2715"/>
        </w:tabs>
        <w:spacing w:before="60" w:after="60"/>
        <w:jc w:val="both"/>
        <w:rPr>
          <w:rFonts w:ascii="Times New Roman" w:hAnsi="Times New Roman"/>
          <w:b/>
          <w:color w:val="333333"/>
          <w:sz w:val="28"/>
          <w:szCs w:val="28"/>
          <w:lang w:val="nl-NL"/>
        </w:rPr>
      </w:pPr>
      <w:r w:rsidRPr="00571D02">
        <w:rPr>
          <w:rFonts w:ascii="Times New Roman" w:hAnsi="Times New Roman"/>
          <w:b/>
          <w:color w:val="333333"/>
          <w:sz w:val="28"/>
          <w:szCs w:val="28"/>
          <w:lang w:val="nl-NL"/>
        </w:rPr>
        <w:t>--------------------------------</w:t>
      </w:r>
    </w:p>
    <w:p w:rsidR="008B26D7" w:rsidRPr="00571D02" w:rsidRDefault="008B26D7" w:rsidP="008B26D7">
      <w:pPr>
        <w:tabs>
          <w:tab w:val="left" w:pos="360"/>
        </w:tabs>
        <w:jc w:val="both"/>
        <w:rPr>
          <w:rFonts w:ascii="Times New Roman" w:hAnsi="Times New Roman"/>
          <w:b/>
          <w:color w:val="333333"/>
          <w:sz w:val="28"/>
          <w:szCs w:val="28"/>
          <w:lang w:val="nl-NL"/>
        </w:rPr>
      </w:pPr>
      <w:r w:rsidRPr="00571D02">
        <w:rPr>
          <w:rFonts w:ascii="Times New Roman" w:hAnsi="Times New Roman"/>
          <w:b/>
          <w:color w:val="333333"/>
          <w:sz w:val="28"/>
          <w:szCs w:val="28"/>
          <w:lang w:val="nl-NL"/>
        </w:rPr>
        <w:t>Tài liệu tham khảo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[1]. Bộ TT&amp;TT (2012), Thông tư số 16/2012/TT-BTTTT ngày 30/10/2012 “Quy</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định phương pháp xác định và chế độ báo cáo giá thành dịch vụ viễn thông.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 [2]. Bộ TT&amp;TT (2012), Thông tư số 16/2012/TT-BTTTT ngày 30 tháng 12 năm</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2012 Quy định phương pháp xác định và chế độ báo cáo giá thành dịch vụ viễn thông.</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[3]. Bộ TT&amp;TT (2013), Thông tư số 11/2013/TT-BTTTT Danh mục dịch vụ viễn thông thực hiện báo cáo giá thành thực tế, giá thành kế hoạch.</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 xml:space="preserve">[4]. AgbeJule, A.(2000), An Administrative and Institutional Perspective of Activity-Based Costing Implementation. Acta Wasaensia, No. 74, Business Administration 29, Universitatis Vasaensis, Vaasa. </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r w:rsidRPr="00571D02">
        <w:rPr>
          <w:rFonts w:ascii="Times New Roman" w:eastAsiaTheme="minorHAnsi" w:hAnsi="Times New Roman"/>
          <w:color w:val="000000"/>
          <w:sz w:val="28"/>
          <w:szCs w:val="28"/>
        </w:rPr>
        <w:t>[5]. Agndal, H. &amp; Nilsson, U. (2009), “Interorganizational cost management in the exchange process.” Management Accounting Research, 20(2), 85-101.</w:t>
      </w: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p>
    <w:p w:rsidR="008B26D7" w:rsidRPr="00571D02" w:rsidRDefault="008B26D7" w:rsidP="008B26D7">
      <w:pPr>
        <w:autoSpaceDE w:val="0"/>
        <w:autoSpaceDN w:val="0"/>
        <w:adjustRightInd w:val="0"/>
        <w:spacing w:after="0" w:line="240" w:lineRule="auto"/>
        <w:jc w:val="both"/>
        <w:rPr>
          <w:rFonts w:ascii="Times New Roman" w:eastAsiaTheme="minorHAnsi" w:hAnsi="Times New Roman"/>
          <w:color w:val="000000"/>
          <w:sz w:val="28"/>
          <w:szCs w:val="28"/>
        </w:rPr>
      </w:pPr>
    </w:p>
    <w:p w:rsidR="008B26D7" w:rsidRPr="00571D02" w:rsidRDefault="008B26D7" w:rsidP="008B26D7">
      <w:pPr>
        <w:rPr>
          <w:sz w:val="28"/>
          <w:szCs w:val="28"/>
        </w:rPr>
      </w:pPr>
    </w:p>
    <w:p w:rsidR="00BA47E2" w:rsidRDefault="00BA47E2">
      <w:bookmarkStart w:id="0" w:name="_GoBack"/>
      <w:bookmarkEnd w:id="0"/>
    </w:p>
    <w:sectPr w:rsidR="00BA47E2" w:rsidSect="00A23DC2">
      <w:pgSz w:w="12240" w:h="15840"/>
      <w:pgMar w:top="72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B26D7"/>
    <w:rsid w:val="00314634"/>
    <w:rsid w:val="00357D77"/>
    <w:rsid w:val="005522B4"/>
    <w:rsid w:val="008B26D7"/>
    <w:rsid w:val="00BA4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B26D7"/>
  </w:style>
  <w:style w:type="table" w:styleId="TableGrid">
    <w:name w:val="Table Grid"/>
    <w:basedOn w:val="TableNormal"/>
    <w:uiPriority w:val="59"/>
    <w:rsid w:val="008B2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B26D7"/>
  </w:style>
  <w:style w:type="table" w:styleId="TableGrid">
    <w:name w:val="Table Grid"/>
    <w:basedOn w:val="TableNormal"/>
    <w:uiPriority w:val="59"/>
    <w:rsid w:val="008B2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2019-01-20T14:04:00Z</dcterms:created>
  <dcterms:modified xsi:type="dcterms:W3CDTF">2019-01-20T14:04:00Z</dcterms:modified>
</cp:coreProperties>
</file>