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5018" w14:textId="77777777" w:rsidR="00AA125B" w:rsidRPr="001859D4" w:rsidRDefault="00AA125B" w:rsidP="00AA12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Quản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lý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các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Khoản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Phải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Thu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Khách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Hàng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tại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Doanh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Nghiệp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Tầm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Quan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Trọng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và</w:t>
      </w:r>
      <w:proofErr w:type="spellEnd"/>
      <w:r w:rsidRPr="00AA125B">
        <w:rPr>
          <w:rFonts w:ascii="Times New Roman" w:hAnsi="Times New Roman" w:cs="Times New Roman"/>
          <w:b/>
          <w:bCs/>
          <w:sz w:val="32"/>
          <w:szCs w:val="32"/>
        </w:rPr>
        <w:t xml:space="preserve"> Các Phương Pháp Hiệu </w:t>
      </w:r>
      <w:proofErr w:type="spellStart"/>
      <w:r w:rsidRPr="00AA125B">
        <w:rPr>
          <w:rFonts w:ascii="Times New Roman" w:hAnsi="Times New Roman" w:cs="Times New Roman"/>
          <w:b/>
          <w:bCs/>
          <w:sz w:val="32"/>
          <w:szCs w:val="32"/>
        </w:rPr>
        <w:t>Quả</w:t>
      </w:r>
      <w:proofErr w:type="spellEnd"/>
    </w:p>
    <w:p w14:paraId="42121B87" w14:textId="4A801E23" w:rsidR="00AA125B" w:rsidRPr="00AA125B" w:rsidRDefault="00AA125B" w:rsidP="00AA125B">
      <w:pPr>
        <w:ind w:left="360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859D4">
        <w:rPr>
          <w:rFonts w:ascii="Times New Roman" w:hAnsi="Times New Roman" w:cs="Times New Roman"/>
          <w:b/>
          <w:bCs/>
          <w:sz w:val="26"/>
          <w:szCs w:val="26"/>
        </w:rPr>
        <w:t>Ths</w:t>
      </w:r>
      <w:proofErr w:type="spellEnd"/>
      <w:r w:rsidRPr="001859D4">
        <w:rPr>
          <w:rFonts w:ascii="Times New Roman" w:hAnsi="Times New Roman" w:cs="Times New Roman"/>
          <w:b/>
          <w:bCs/>
          <w:sz w:val="26"/>
          <w:szCs w:val="26"/>
        </w:rPr>
        <w:t>. Ngô Thị Kiều Trang</w:t>
      </w:r>
    </w:p>
    <w:p w14:paraId="07589BBD" w14:textId="77777777" w:rsidR="00AA125B" w:rsidRPr="00AA125B" w:rsidRDefault="00AA125B" w:rsidP="00AA125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thiệu</w:t>
      </w:r>
      <w:proofErr w:type="spellEnd"/>
    </w:p>
    <w:p w14:paraId="6D5B4E2A" w14:textId="77777777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then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62D29D6A" w14:textId="24FE8105" w:rsidR="00AA125B" w:rsidRPr="00AA125B" w:rsidRDefault="00AA125B" w:rsidP="00AA125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Khái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Niệm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Tầm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Quan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Trọng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Thu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</w:p>
    <w:p w14:paraId="44EDC499" w14:textId="77777777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thậm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709BFA4B" w14:textId="68F2BF98" w:rsidR="00AA125B" w:rsidRPr="00AA125B" w:rsidRDefault="00AA125B" w:rsidP="00AA125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Ro Liên Quan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</w:p>
    <w:p w14:paraId="36A67DA5" w14:textId="44DB5327" w:rsidR="00AA125B" w:rsidRPr="00AA125B" w:rsidRDefault="00AA125B" w:rsidP="00AA125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125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(Credit Risk)</w:t>
      </w:r>
    </w:p>
    <w:p w14:paraId="2C2EF477" w14:textId="77777777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206544AF" w14:textId="77777777" w:rsidR="00AA125B" w:rsidRPr="00AA125B" w:rsidRDefault="00AA125B" w:rsidP="00AA125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 xml:space="preserve">Nguyên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:</w:t>
      </w:r>
    </w:p>
    <w:p w14:paraId="6808C40A" w14:textId="77777777" w:rsidR="00AA125B" w:rsidRPr="00AA125B" w:rsidRDefault="00AA125B" w:rsidP="00AA125B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3355A500" w14:textId="77777777" w:rsidR="00AA125B" w:rsidRPr="00AA125B" w:rsidRDefault="00AA125B" w:rsidP="00AA125B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77A7C404" w14:textId="77777777" w:rsidR="00AA125B" w:rsidRPr="00AA125B" w:rsidRDefault="00AA125B" w:rsidP="00AA125B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né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7A17D78B" w14:textId="77777777" w:rsidR="00AA125B" w:rsidRPr="00AA125B" w:rsidRDefault="00AA125B" w:rsidP="00AA125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lastRenderedPageBreak/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7FB4E6B4" w14:textId="7A0ECE50" w:rsidR="00AA125B" w:rsidRPr="00AA125B" w:rsidRDefault="00AA125B" w:rsidP="00AA125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125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(Liquidity Risk)</w:t>
      </w:r>
    </w:p>
    <w:p w14:paraId="5A03874B" w14:textId="77777777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546A247B" w14:textId="77777777" w:rsidR="00AA125B" w:rsidRPr="00AA125B" w:rsidRDefault="00AA125B" w:rsidP="00AA125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 xml:space="preserve">Nguyên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:</w:t>
      </w:r>
    </w:p>
    <w:p w14:paraId="07067388" w14:textId="77777777" w:rsidR="00AA125B" w:rsidRPr="00AA125B" w:rsidRDefault="00AA125B" w:rsidP="00AA125B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 xml:space="preserve">Doanh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1D8ACAA7" w14:textId="77777777" w:rsidR="00AA125B" w:rsidRPr="00AA125B" w:rsidRDefault="00AA125B" w:rsidP="00AA125B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 xml:space="preserve">Doanh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708D1C84" w14:textId="77777777" w:rsidR="00AA125B" w:rsidRPr="00AA125B" w:rsidRDefault="00AA125B" w:rsidP="00AA125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Khi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mượn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708BE877" w14:textId="1ECAA550" w:rsidR="00AA125B" w:rsidRPr="00AA125B" w:rsidRDefault="00AA125B" w:rsidP="00AA125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125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(Financial Cost Risk)</w:t>
      </w:r>
    </w:p>
    <w:p w14:paraId="42620874" w14:textId="77777777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mượn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45EB2148" w14:textId="77777777" w:rsidR="00AA125B" w:rsidRPr="00AA125B" w:rsidRDefault="00AA125B" w:rsidP="00AA125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 xml:space="preserve">Nguyên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:</w:t>
      </w:r>
    </w:p>
    <w:p w14:paraId="6868AA82" w14:textId="77777777" w:rsidR="00AA125B" w:rsidRPr="00AA125B" w:rsidRDefault="00AA125B" w:rsidP="00AA125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 xml:space="preserve">Doanh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mượn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bù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đắp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126237E3" w14:textId="77777777" w:rsidR="00AA125B" w:rsidRPr="00AA125B" w:rsidRDefault="00AA125B" w:rsidP="00AA125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5D06C034" w14:textId="77777777" w:rsidR="00AA125B" w:rsidRPr="00AA125B" w:rsidRDefault="00AA125B" w:rsidP="00AA125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Khi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bù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đắp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202ED13A" w14:textId="6B4E68A4" w:rsidR="00AA125B" w:rsidRPr="00AA125B" w:rsidRDefault="00AA125B" w:rsidP="00AA125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125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  </w:t>
      </w:r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Các Phương Pháp Quản Lý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Thu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</w:p>
    <w:p w14:paraId="3F1D6CAC" w14:textId="77777777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:</w:t>
      </w:r>
    </w:p>
    <w:p w14:paraId="66DECAB7" w14:textId="2BAF031E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A125B">
        <w:rPr>
          <w:rFonts w:ascii="Times New Roman" w:hAnsi="Times New Roman" w:cs="Times New Roman"/>
          <w:sz w:val="26"/>
          <w:szCs w:val="26"/>
        </w:rPr>
        <w:t>1)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proofErr w:type="gram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xấu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0C13AC38" w14:textId="0C02AF9C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A125B">
        <w:rPr>
          <w:rFonts w:ascii="Times New Roman" w:hAnsi="Times New Roman" w:cs="Times New Roman"/>
          <w:sz w:val="26"/>
          <w:szCs w:val="26"/>
        </w:rPr>
        <w:t>2)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Xác</w:t>
      </w:r>
      <w:proofErr w:type="spellEnd"/>
      <w:proofErr w:type="gram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Doanh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69C29CBC" w14:textId="784B51D3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A125B">
        <w:rPr>
          <w:rFonts w:ascii="Times New Roman" w:hAnsi="Times New Roman" w:cs="Times New Roman"/>
          <w:sz w:val="26"/>
          <w:szCs w:val="26"/>
        </w:rPr>
        <w:t>3)</w:t>
      </w:r>
      <w:r w:rsidRPr="00AA125B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Doanh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6A03C192" w14:textId="37B52046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A125B">
        <w:rPr>
          <w:rFonts w:ascii="Times New Roman" w:hAnsi="Times New Roman" w:cs="Times New Roman"/>
          <w:sz w:val="26"/>
          <w:szCs w:val="26"/>
        </w:rPr>
        <w:t>4)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Sử</w:t>
      </w:r>
      <w:proofErr w:type="spellEnd"/>
      <w:proofErr w:type="gram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Các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2D25DFBF" w14:textId="149F0158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A125B">
        <w:rPr>
          <w:rFonts w:ascii="Times New Roman" w:hAnsi="Times New Roman" w:cs="Times New Roman"/>
          <w:sz w:val="26"/>
          <w:szCs w:val="26"/>
        </w:rPr>
        <w:t>5)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proofErr w:type="gram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Doanh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210576D5" w14:textId="031F9AD4" w:rsidR="00AA125B" w:rsidRP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A125B">
        <w:rPr>
          <w:rFonts w:ascii="Times New Roman" w:hAnsi="Times New Roman" w:cs="Times New Roman"/>
          <w:sz w:val="26"/>
          <w:szCs w:val="26"/>
        </w:rPr>
        <w:t>6)</w:t>
      </w:r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gram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69AC980D" w14:textId="77777777" w:rsidR="00AA125B" w:rsidRPr="00AA125B" w:rsidRDefault="00AA125B" w:rsidP="00AA125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AA12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1D52204A" w14:textId="77777777" w:rsidR="00AA125B" w:rsidRDefault="00AA125B" w:rsidP="00AA125B">
      <w:pPr>
        <w:jc w:val="both"/>
        <w:rPr>
          <w:rFonts w:ascii="Times New Roman" w:hAnsi="Times New Roman" w:cs="Times New Roman"/>
          <w:sz w:val="26"/>
          <w:szCs w:val="26"/>
        </w:rPr>
      </w:pPr>
      <w:r w:rsidRPr="00AA125B">
        <w:rPr>
          <w:rFonts w:ascii="Times New Roman" w:hAnsi="Times New Roman" w:cs="Times New Roman"/>
          <w:sz w:val="26"/>
          <w:szCs w:val="26"/>
        </w:rPr>
        <w:t xml:space="preserve">Quản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Doanh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lastRenderedPageBreak/>
        <w:t>cần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12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A125B">
        <w:rPr>
          <w:rFonts w:ascii="Times New Roman" w:hAnsi="Times New Roman" w:cs="Times New Roman"/>
          <w:sz w:val="26"/>
          <w:szCs w:val="26"/>
        </w:rPr>
        <w:t>.</w:t>
      </w:r>
    </w:p>
    <w:p w14:paraId="3C8EB916" w14:textId="61EC68E8" w:rsidR="00AA125B" w:rsidRDefault="001859D4" w:rsidP="001859D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TÀI LIỆU THAM KHẢO</w:t>
      </w:r>
    </w:p>
    <w:p w14:paraId="458BA1CE" w14:textId="7BC2B699" w:rsidR="00AA125B" w:rsidRDefault="001859D4" w:rsidP="00AA125B">
      <w:pPr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610990">
          <w:rPr>
            <w:rStyle w:val="Hyperlink"/>
            <w:rFonts w:ascii="Times New Roman" w:hAnsi="Times New Roman" w:cs="Times New Roman"/>
            <w:sz w:val="26"/>
            <w:szCs w:val="26"/>
          </w:rPr>
          <w:t>https://f2m.uneti.edu.vn/uploads/page/6quan-tri-tai-chinh.pdf</w:t>
        </w:r>
      </w:hyperlink>
    </w:p>
    <w:p w14:paraId="10DE3D70" w14:textId="77777777" w:rsidR="001859D4" w:rsidRPr="00AA125B" w:rsidRDefault="001859D4" w:rsidP="00AA125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DB8D63" w14:textId="46B896A8" w:rsidR="001859D4" w:rsidRDefault="001859D4" w:rsidP="00AA125B">
      <w:pPr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610990">
          <w:rPr>
            <w:rStyle w:val="Hyperlink"/>
            <w:rFonts w:ascii="Times New Roman" w:hAnsi="Times New Roman" w:cs="Times New Roman"/>
            <w:sz w:val="26"/>
            <w:szCs w:val="26"/>
          </w:rPr>
          <w:t>https://www.studocu.vn/vn/document/truong-dai-hoc-sai-gon/tham-khao-cach-trinh-</w:t>
        </w:r>
      </w:hyperlink>
    </w:p>
    <w:p w14:paraId="434E42B8" w14:textId="77E40D34" w:rsidR="00135046" w:rsidRDefault="001859D4" w:rsidP="00AA125B">
      <w:pPr>
        <w:jc w:val="both"/>
        <w:rPr>
          <w:rFonts w:ascii="Times New Roman" w:hAnsi="Times New Roman" w:cs="Times New Roman"/>
          <w:sz w:val="26"/>
          <w:szCs w:val="26"/>
        </w:rPr>
      </w:pPr>
      <w:r w:rsidRPr="001859D4">
        <w:rPr>
          <w:rFonts w:ascii="Times New Roman" w:hAnsi="Times New Roman" w:cs="Times New Roman"/>
          <w:sz w:val="26"/>
          <w:szCs w:val="26"/>
        </w:rPr>
        <w:t>bay/giao-trinh-kiem-toan-tai-chinh-giao-trinh-dao-tao-tu-xa-phan-1-994452/21605680</w:t>
      </w:r>
    </w:p>
    <w:p w14:paraId="52FEA2A9" w14:textId="77777777" w:rsidR="001859D4" w:rsidRPr="00AA125B" w:rsidRDefault="001859D4" w:rsidP="00AA125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859D4" w:rsidRPr="00AA12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03B7" w14:textId="77777777" w:rsidR="00F64AE1" w:rsidRDefault="00F64AE1" w:rsidP="00AA125B">
      <w:pPr>
        <w:spacing w:after="0" w:line="240" w:lineRule="auto"/>
      </w:pPr>
      <w:r>
        <w:separator/>
      </w:r>
    </w:p>
  </w:endnote>
  <w:endnote w:type="continuationSeparator" w:id="0">
    <w:p w14:paraId="4BC4164B" w14:textId="77777777" w:rsidR="00F64AE1" w:rsidRDefault="00F64AE1" w:rsidP="00AA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463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C09F7" w14:textId="5EA28669" w:rsidR="00AA125B" w:rsidRDefault="00AA12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27050" w14:textId="77777777" w:rsidR="00AA125B" w:rsidRDefault="00AA1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4BD4" w14:textId="77777777" w:rsidR="00F64AE1" w:rsidRDefault="00F64AE1" w:rsidP="00AA125B">
      <w:pPr>
        <w:spacing w:after="0" w:line="240" w:lineRule="auto"/>
      </w:pPr>
      <w:r>
        <w:separator/>
      </w:r>
    </w:p>
  </w:footnote>
  <w:footnote w:type="continuationSeparator" w:id="0">
    <w:p w14:paraId="7A2A5B28" w14:textId="77777777" w:rsidR="00F64AE1" w:rsidRDefault="00F64AE1" w:rsidP="00AA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5A0"/>
    <w:multiLevelType w:val="multilevel"/>
    <w:tmpl w:val="1402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850AB"/>
    <w:multiLevelType w:val="multilevel"/>
    <w:tmpl w:val="DD84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41C71"/>
    <w:multiLevelType w:val="multilevel"/>
    <w:tmpl w:val="81FE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119BD"/>
    <w:multiLevelType w:val="multilevel"/>
    <w:tmpl w:val="1866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D1779"/>
    <w:multiLevelType w:val="multilevel"/>
    <w:tmpl w:val="6920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018097">
    <w:abstractNumId w:val="2"/>
  </w:num>
  <w:num w:numId="2" w16cid:durableId="266158223">
    <w:abstractNumId w:val="0"/>
  </w:num>
  <w:num w:numId="3" w16cid:durableId="774521376">
    <w:abstractNumId w:val="1"/>
  </w:num>
  <w:num w:numId="4" w16cid:durableId="2088573981">
    <w:abstractNumId w:val="4"/>
  </w:num>
  <w:num w:numId="5" w16cid:durableId="47776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5B"/>
    <w:rsid w:val="00135046"/>
    <w:rsid w:val="001859D4"/>
    <w:rsid w:val="00265EA0"/>
    <w:rsid w:val="00AA125B"/>
    <w:rsid w:val="00DF15C9"/>
    <w:rsid w:val="00F6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3EB7"/>
  <w15:chartTrackingRefBased/>
  <w15:docId w15:val="{26E59BF3-F328-4689-8DA3-21BDB5FD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2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2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2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5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5B"/>
  </w:style>
  <w:style w:type="paragraph" w:styleId="Footer">
    <w:name w:val="footer"/>
    <w:basedOn w:val="Normal"/>
    <w:link w:val="FooterChar"/>
    <w:uiPriority w:val="99"/>
    <w:unhideWhenUsed/>
    <w:rsid w:val="00AA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25B"/>
  </w:style>
  <w:style w:type="character" w:styleId="Hyperlink">
    <w:name w:val="Hyperlink"/>
    <w:basedOn w:val="DefaultParagraphFont"/>
    <w:uiPriority w:val="99"/>
    <w:unhideWhenUsed/>
    <w:rsid w:val="001859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ocu.vn/vn/document/truong-dai-hoc-sai-gon/tham-khao-cach-trinh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2m.uneti.edu.vn/uploads/page/6quan-tri-tai-chin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2025-04-14T02:26:00Z</dcterms:created>
  <dcterms:modified xsi:type="dcterms:W3CDTF">2025-04-14T02:43:00Z</dcterms:modified>
</cp:coreProperties>
</file>