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E65933" w:rsidRDefault="00263B6D" w:rsidP="00656E94">
      <w:pPr>
        <w:spacing w:line="312" w:lineRule="auto"/>
        <w:jc w:val="both"/>
        <w:rPr>
          <w:b/>
          <w:bCs/>
          <w:sz w:val="26"/>
          <w:szCs w:val="26"/>
          <w:lang w:val="nl-NL"/>
        </w:rPr>
      </w:pPr>
    </w:p>
    <w:p w:rsidR="00911577" w:rsidRPr="00E65933" w:rsidRDefault="00C742F1" w:rsidP="00FE5F91">
      <w:pPr>
        <w:spacing w:line="312" w:lineRule="auto"/>
        <w:jc w:val="center"/>
        <w:rPr>
          <w:b/>
          <w:bCs/>
          <w:sz w:val="26"/>
          <w:szCs w:val="26"/>
          <w:lang w:val="nl-NL"/>
        </w:rPr>
      </w:pPr>
      <w:r w:rsidRPr="00E65933">
        <w:rPr>
          <w:b/>
          <w:bCs/>
          <w:sz w:val="26"/>
          <w:szCs w:val="26"/>
          <w:lang w:val="nl-NL"/>
        </w:rPr>
        <w:t>QUYẾT ĐỊNH ĐẦU TƯ DÀI HẠN TRONG ĐIỀU KIỆN CÓ RỦI RO</w:t>
      </w:r>
    </w:p>
    <w:p w:rsidR="00911577" w:rsidRPr="00E65933" w:rsidRDefault="00911577" w:rsidP="00656E94">
      <w:pPr>
        <w:tabs>
          <w:tab w:val="left" w:pos="4500"/>
        </w:tabs>
        <w:spacing w:line="312" w:lineRule="auto"/>
        <w:jc w:val="both"/>
        <w:rPr>
          <w:b/>
          <w:bCs/>
          <w:sz w:val="26"/>
          <w:szCs w:val="26"/>
          <w:lang w:val="en-US"/>
        </w:rPr>
      </w:pPr>
      <w:r w:rsidRPr="00E65933">
        <w:rPr>
          <w:b/>
          <w:bCs/>
          <w:sz w:val="26"/>
          <w:szCs w:val="26"/>
          <w:lang w:val="en-US"/>
        </w:rPr>
        <w:tab/>
      </w:r>
      <w:r w:rsidR="00EE725C" w:rsidRPr="00E65933">
        <w:rPr>
          <w:b/>
          <w:bCs/>
          <w:sz w:val="26"/>
          <w:szCs w:val="26"/>
          <w:lang w:val="en-US"/>
        </w:rPr>
        <w:tab/>
      </w:r>
      <w:r w:rsidR="00EE725C" w:rsidRPr="00E65933">
        <w:rPr>
          <w:b/>
          <w:bCs/>
          <w:sz w:val="26"/>
          <w:szCs w:val="26"/>
          <w:lang w:val="en-US"/>
        </w:rPr>
        <w:tab/>
      </w:r>
      <w:r w:rsidR="008B339C" w:rsidRPr="00E65933">
        <w:rPr>
          <w:b/>
          <w:bCs/>
          <w:sz w:val="26"/>
          <w:szCs w:val="26"/>
          <w:lang w:val="en-US"/>
        </w:rPr>
        <w:t>Lê Thị Huyền Trâm</w:t>
      </w:r>
    </w:p>
    <w:p w:rsidR="00911577" w:rsidRPr="00E65933" w:rsidRDefault="00EE725C" w:rsidP="00656E94">
      <w:pPr>
        <w:tabs>
          <w:tab w:val="left" w:pos="4500"/>
        </w:tabs>
        <w:spacing w:line="312" w:lineRule="auto"/>
        <w:jc w:val="both"/>
        <w:rPr>
          <w:b/>
          <w:bCs/>
          <w:sz w:val="26"/>
          <w:szCs w:val="26"/>
          <w:lang w:val="en-US"/>
        </w:rPr>
      </w:pPr>
      <w:r w:rsidRPr="00E65933">
        <w:rPr>
          <w:b/>
          <w:bCs/>
          <w:sz w:val="26"/>
          <w:szCs w:val="26"/>
          <w:lang w:val="en-US"/>
        </w:rPr>
        <w:tab/>
      </w:r>
      <w:r w:rsidRPr="00E65933">
        <w:rPr>
          <w:b/>
          <w:bCs/>
          <w:sz w:val="26"/>
          <w:szCs w:val="26"/>
          <w:lang w:val="en-US"/>
        </w:rPr>
        <w:tab/>
      </w:r>
      <w:r w:rsidRPr="00E65933">
        <w:rPr>
          <w:b/>
          <w:bCs/>
          <w:sz w:val="26"/>
          <w:szCs w:val="26"/>
          <w:lang w:val="en-US"/>
        </w:rPr>
        <w:tab/>
      </w:r>
      <w:r w:rsidR="003E550F" w:rsidRPr="00E65933">
        <w:rPr>
          <w:b/>
          <w:bCs/>
          <w:sz w:val="26"/>
          <w:szCs w:val="26"/>
          <w:lang w:val="en-US"/>
        </w:rPr>
        <w:t>BM Kế toán quản trị</w:t>
      </w:r>
    </w:p>
    <w:p w:rsidR="00487B77" w:rsidRPr="00E65933" w:rsidRDefault="00F34B96" w:rsidP="00F34B96">
      <w:pPr>
        <w:pStyle w:val="BodyText"/>
        <w:spacing w:line="288" w:lineRule="auto"/>
        <w:ind w:left="113" w:right="273" w:firstLine="569"/>
        <w:jc w:val="both"/>
        <w:rPr>
          <w:i/>
          <w:sz w:val="26"/>
          <w:szCs w:val="26"/>
        </w:rPr>
      </w:pPr>
      <w:r w:rsidRPr="00E65933">
        <w:rPr>
          <w:i/>
          <w:sz w:val="26"/>
          <w:szCs w:val="26"/>
        </w:rPr>
        <w:t>K</w:t>
      </w:r>
      <w:r w:rsidRPr="00E65933">
        <w:rPr>
          <w:i/>
          <w:sz w:val="26"/>
          <w:szCs w:val="26"/>
        </w:rPr>
        <w:t>inh doanh trong cơ chế thị trường thì rủi ro là điều hay xảy ra, các nhà đầu tư dễ gặp phải những sự kiện ngoài ý muốn và dự đoán của mình.</w:t>
      </w:r>
      <w:r w:rsidRPr="00E65933">
        <w:rPr>
          <w:i/>
          <w:sz w:val="26"/>
          <w:szCs w:val="26"/>
        </w:rPr>
        <w:t xml:space="preserve"> </w:t>
      </w:r>
      <w:r w:rsidRPr="00E65933">
        <w:rPr>
          <w:i/>
          <w:sz w:val="26"/>
          <w:szCs w:val="26"/>
        </w:rPr>
        <w:t xml:space="preserve">Rủi ro trong đầu tư có thể là sự thay đổi của cơ chế, sự biến động bất lợi của thị trường, giá cả sản phẩm... Tất cả sự thay đổi, biến động đó đều tác động đến thu nhập của doanh nghiệp. </w:t>
      </w:r>
      <w:r w:rsidRPr="00E65933">
        <w:rPr>
          <w:i/>
          <w:sz w:val="26"/>
          <w:szCs w:val="26"/>
        </w:rPr>
        <w:t>Do vậy, cần nghiên cứu kỹ khi quyết định kinh doanh trong điều kiện như vậy. Bài v</w:t>
      </w:r>
      <w:r w:rsidR="00393B34" w:rsidRPr="00E65933">
        <w:rPr>
          <w:i/>
          <w:sz w:val="26"/>
          <w:szCs w:val="26"/>
        </w:rPr>
        <w:t xml:space="preserve">iết </w:t>
      </w:r>
      <w:r w:rsidR="006C40B7" w:rsidRPr="00E65933">
        <w:rPr>
          <w:i/>
          <w:sz w:val="26"/>
          <w:szCs w:val="26"/>
        </w:rPr>
        <w:t xml:space="preserve">đưa ra </w:t>
      </w:r>
      <w:r w:rsidR="00197615" w:rsidRPr="00E65933">
        <w:rPr>
          <w:i/>
          <w:sz w:val="26"/>
          <w:szCs w:val="26"/>
        </w:rPr>
        <w:t>các trường hợp đầu tư dài hạn trong điều kiện rủi ro.</w:t>
      </w:r>
    </w:p>
    <w:p w:rsidR="00DD1D70" w:rsidRPr="00E65933" w:rsidRDefault="00DD1D70" w:rsidP="00F35AD7">
      <w:pPr>
        <w:pStyle w:val="Heading9"/>
        <w:spacing w:before="0"/>
        <w:ind w:left="115" w:right="206"/>
        <w:rPr>
          <w:rFonts w:ascii="Times New Roman" w:hAnsi="Times New Roman"/>
          <w:sz w:val="26"/>
          <w:szCs w:val="26"/>
        </w:rPr>
      </w:pPr>
      <w:r w:rsidRPr="00E65933">
        <w:rPr>
          <w:rFonts w:ascii="Times New Roman" w:hAnsi="Times New Roman"/>
          <w:i/>
          <w:sz w:val="26"/>
          <w:szCs w:val="26"/>
        </w:rPr>
        <w:t>Từ khóa:</w:t>
      </w:r>
      <w:r w:rsidRPr="00E65933">
        <w:rPr>
          <w:rFonts w:ascii="Times New Roman" w:hAnsi="Times New Roman"/>
          <w:sz w:val="26"/>
          <w:szCs w:val="26"/>
        </w:rPr>
        <w:t xml:space="preserve"> dài hạn, rủi ro, quyết định</w:t>
      </w:r>
    </w:p>
    <w:p w:rsidR="00F35AD7" w:rsidRPr="00E65933" w:rsidRDefault="00DD1D70" w:rsidP="00F35AD7">
      <w:pPr>
        <w:pStyle w:val="Heading9"/>
        <w:spacing w:before="0"/>
        <w:ind w:left="115" w:right="206"/>
        <w:rPr>
          <w:rFonts w:ascii="Times New Roman" w:hAnsi="Times New Roman"/>
          <w:b/>
          <w:sz w:val="26"/>
          <w:szCs w:val="26"/>
          <w:lang w:val="en-US"/>
        </w:rPr>
      </w:pPr>
      <w:r w:rsidRPr="00E65933">
        <w:rPr>
          <w:rFonts w:ascii="Times New Roman" w:hAnsi="Times New Roman"/>
          <w:b/>
          <w:sz w:val="26"/>
          <w:szCs w:val="26"/>
          <w:lang w:val="en-US"/>
        </w:rPr>
        <w:t xml:space="preserve">1. </w:t>
      </w:r>
      <w:r w:rsidRPr="00E65933">
        <w:rPr>
          <w:rFonts w:ascii="Times New Roman" w:hAnsi="Times New Roman"/>
          <w:b/>
          <w:sz w:val="26"/>
          <w:szCs w:val="26"/>
        </w:rPr>
        <w:t>Khái niệm rủi ro trong đầu tư</w:t>
      </w:r>
    </w:p>
    <w:p w:rsidR="00F35AD7" w:rsidRPr="00E65933" w:rsidRDefault="00F35AD7" w:rsidP="00F35AD7">
      <w:pPr>
        <w:pStyle w:val="BodyText"/>
        <w:spacing w:before="11"/>
        <w:rPr>
          <w:b/>
          <w:i/>
          <w:sz w:val="26"/>
          <w:szCs w:val="26"/>
        </w:rPr>
      </w:pPr>
    </w:p>
    <w:p w:rsidR="00F35AD7" w:rsidRPr="00E65933" w:rsidRDefault="00DD1D70" w:rsidP="00F35AD7">
      <w:pPr>
        <w:pStyle w:val="BodyText"/>
        <w:spacing w:line="288" w:lineRule="auto"/>
        <w:ind w:left="113" w:right="273" w:firstLine="569"/>
        <w:jc w:val="both"/>
        <w:rPr>
          <w:sz w:val="26"/>
          <w:szCs w:val="26"/>
          <w:lang w:val="vi-VN" w:eastAsia="vi-VN"/>
        </w:rPr>
      </w:pPr>
      <w:r w:rsidRPr="00E65933">
        <w:rPr>
          <w:sz w:val="26"/>
          <w:szCs w:val="26"/>
          <w:lang w:val="vi-VN" w:eastAsia="vi-VN"/>
        </w:rPr>
        <w:t>Rủi ro đơn giản là việc xảy ra trong tương lai không được như mong muốn của bạn. Rủi ro là một phần của đầu tư và việc hiểu rủi ro là rất quan trọng cho Nhà đầu tư. </w:t>
      </w:r>
      <w:r w:rsidRPr="00E65933">
        <w:rPr>
          <w:sz w:val="26"/>
          <w:szCs w:val="26"/>
          <w:lang w:val="vi-VN" w:eastAsia="vi-VN"/>
        </w:rPr>
        <w:t xml:space="preserve">Một </w:t>
      </w:r>
      <w:r w:rsidRPr="00E65933">
        <w:rPr>
          <w:sz w:val="26"/>
          <w:szCs w:val="26"/>
          <w:lang w:val="vi-VN" w:eastAsia="vi-VN"/>
        </w:rPr>
        <w:t>số yếu tố rủi ro chủ yếu mà nhà đầu tư nên quan tâm</w:t>
      </w:r>
      <w:r w:rsidRPr="00E65933">
        <w:rPr>
          <w:sz w:val="26"/>
          <w:szCs w:val="26"/>
          <w:lang w:val="vi-VN" w:eastAsia="vi-VN"/>
        </w:rPr>
        <w:t xml:space="preserve"> là rủi ro thị trường, rủi ro lãi suất, rủi ro lạm phát, rủi ro pháp lý…</w:t>
      </w:r>
      <w:r w:rsidR="00F35AD7" w:rsidRPr="00E65933">
        <w:rPr>
          <w:sz w:val="26"/>
          <w:szCs w:val="26"/>
          <w:lang w:val="vi-VN" w:eastAsia="vi-VN"/>
        </w:rPr>
        <w:t xml:space="preserve"> Trong khi đó kinh doanh trong cơ chế thị trường thì rủi ro là điều hay xảy ra, các nhà đầu tư dễ gặp phải những sự kiện ngoài ý muốn và dự đoán của mình.</w:t>
      </w:r>
    </w:p>
    <w:p w:rsidR="00F35AD7" w:rsidRPr="00E65933" w:rsidRDefault="00F35AD7" w:rsidP="00F35AD7">
      <w:pPr>
        <w:pStyle w:val="BodyText"/>
        <w:spacing w:before="71" w:line="288" w:lineRule="auto"/>
        <w:ind w:left="101" w:right="287" w:firstLine="567"/>
        <w:jc w:val="both"/>
        <w:rPr>
          <w:sz w:val="26"/>
          <w:szCs w:val="26"/>
          <w:lang w:val="vi-VN" w:eastAsia="vi-VN"/>
        </w:rPr>
      </w:pPr>
      <w:r w:rsidRPr="00E65933">
        <w:rPr>
          <w:sz w:val="26"/>
          <w:szCs w:val="26"/>
          <w:lang w:val="vi-VN" w:eastAsia="vi-VN"/>
        </w:rPr>
        <w:t>Rủi ro trong đầu tư có thể là sự thay đổi của cơ chế, sự biến động bất lợi của thị trường, giá cả sản phẩm... Tất cả sự thay đổi, biến động đó đều tác động đến thu nhập của doanh nghiệp. Do vậy rủi ro trong đầu tư được hiểu là sự biến đổi thu nhập do tài sản được đầu tư hy vọng mang lại.</w:t>
      </w:r>
    </w:p>
    <w:p w:rsidR="00F35AD7" w:rsidRPr="00E65933" w:rsidRDefault="00DD1D70" w:rsidP="00F35AD7">
      <w:pPr>
        <w:pStyle w:val="Heading9"/>
        <w:spacing w:before="185"/>
        <w:ind w:left="101" w:right="206"/>
        <w:rPr>
          <w:rFonts w:ascii="Times New Roman" w:hAnsi="Times New Roman"/>
          <w:b/>
          <w:sz w:val="26"/>
          <w:szCs w:val="26"/>
        </w:rPr>
      </w:pPr>
      <w:r w:rsidRPr="00E65933">
        <w:rPr>
          <w:rFonts w:ascii="Times New Roman" w:hAnsi="Times New Roman"/>
          <w:b/>
          <w:sz w:val="26"/>
          <w:szCs w:val="26"/>
          <w:lang w:val="en-US"/>
        </w:rPr>
        <w:t xml:space="preserve">2. </w:t>
      </w:r>
      <w:r w:rsidR="00F35AD7" w:rsidRPr="00E65933">
        <w:rPr>
          <w:rFonts w:ascii="Times New Roman" w:hAnsi="Times New Roman"/>
          <w:b/>
          <w:sz w:val="26"/>
          <w:szCs w:val="26"/>
        </w:rPr>
        <w:t>Lựa chọn dự án đầu tư trong điều kiện có rủi ro.</w:t>
      </w:r>
    </w:p>
    <w:p w:rsidR="00EF2D38" w:rsidRPr="00E65933" w:rsidRDefault="00C63BD6" w:rsidP="00EF2D38">
      <w:pPr>
        <w:tabs>
          <w:tab w:val="left" w:pos="900"/>
        </w:tabs>
        <w:rPr>
          <w:i/>
          <w:sz w:val="26"/>
          <w:szCs w:val="26"/>
        </w:rPr>
      </w:pPr>
      <w:r w:rsidRPr="00E65933">
        <w:rPr>
          <w:i/>
          <w:sz w:val="26"/>
          <w:szCs w:val="26"/>
          <w:lang w:val="en-US"/>
        </w:rPr>
        <w:tab/>
        <w:t xml:space="preserve">* </w:t>
      </w:r>
      <w:r w:rsidR="00EF2D38" w:rsidRPr="00E65933">
        <w:rPr>
          <w:i/>
          <w:sz w:val="26"/>
          <w:szCs w:val="26"/>
        </w:rPr>
        <w:t>Dùng tỷ lệ chiết khấu đã điều chỉnh theo mức độ rủi</w:t>
      </w:r>
      <w:r w:rsidR="00EF2D38" w:rsidRPr="00E65933">
        <w:rPr>
          <w:i/>
          <w:spacing w:val="-18"/>
          <w:sz w:val="26"/>
          <w:szCs w:val="26"/>
        </w:rPr>
        <w:t xml:space="preserve"> </w:t>
      </w:r>
      <w:r w:rsidR="00EF2D38" w:rsidRPr="00E65933">
        <w:rPr>
          <w:i/>
          <w:sz w:val="26"/>
          <w:szCs w:val="26"/>
        </w:rPr>
        <w:t>ro.</w:t>
      </w:r>
    </w:p>
    <w:p w:rsidR="00EF2D38" w:rsidRPr="00E65933" w:rsidRDefault="00EF2D38" w:rsidP="00EF2D38">
      <w:pPr>
        <w:pStyle w:val="BodyText"/>
        <w:spacing w:before="171" w:line="288" w:lineRule="auto"/>
        <w:ind w:left="101" w:right="287" w:firstLine="567"/>
        <w:jc w:val="both"/>
        <w:rPr>
          <w:sz w:val="26"/>
          <w:szCs w:val="26"/>
          <w:lang w:val="vi-VN" w:eastAsia="vi-VN"/>
        </w:rPr>
      </w:pPr>
      <w:r w:rsidRPr="00E65933">
        <w:rPr>
          <w:sz w:val="26"/>
          <w:szCs w:val="26"/>
          <w:lang w:val="vi-VN" w:eastAsia="vi-VN"/>
        </w:rPr>
        <w:t>Theo phương pháp này, thì người ta tuỳ thuộc vào mức độ rủi ro của dự án đang xem xét đó cao hay thấp để xác định một tỷ lệ nhất định cộng thêm vào tỷ lệ chiết khấu của dự án trong điều kiện không có rủi ro để hình thành nên tỷ lệ chiết khấu của dự án đầu tư có rủi ro. Tỷ lệ chiết khấu này được gọi là tỷ lệ chiết khấu đầy đủ.</w:t>
      </w:r>
    </w:p>
    <w:p w:rsidR="00EF2D38" w:rsidRPr="00E65933" w:rsidRDefault="00EF2D38" w:rsidP="00EF2D38">
      <w:pPr>
        <w:pStyle w:val="BodyText"/>
        <w:spacing w:before="122" w:line="288" w:lineRule="auto"/>
        <w:ind w:left="103" w:right="285" w:firstLine="566"/>
        <w:jc w:val="both"/>
        <w:rPr>
          <w:sz w:val="26"/>
          <w:szCs w:val="26"/>
          <w:lang w:val="vi-VN" w:eastAsia="vi-VN"/>
        </w:rPr>
      </w:pPr>
      <w:r w:rsidRPr="00E65933">
        <w:rPr>
          <w:sz w:val="26"/>
          <w:szCs w:val="26"/>
          <w:lang w:val="vi-VN" w:eastAsia="vi-VN"/>
        </w:rPr>
        <w:t>Các dự án đầu tư trong điều kiện có rủi ro phải được phân loại theo mức độ mạo hiểm (rủi ro) của nó, dự án nào có mức độ mạo hiểm lớn thì tỷ lệ chiết khấu đầy đủ cao và ngược lại.</w:t>
      </w:r>
      <w:r w:rsidRPr="00E65933">
        <w:rPr>
          <w:sz w:val="26"/>
          <w:szCs w:val="26"/>
          <w:lang w:eastAsia="vi-VN"/>
        </w:rPr>
        <w:t xml:space="preserve"> </w:t>
      </w:r>
      <w:r w:rsidRPr="00E65933">
        <w:rPr>
          <w:sz w:val="26"/>
          <w:szCs w:val="26"/>
          <w:lang w:val="vi-VN" w:eastAsia="vi-VN"/>
        </w:rPr>
        <w:t>Tỷ lệ chiết khấu đầy đủ được xác định bằng 2 phương pháp là: Chủ quan và khách quan.</w:t>
      </w:r>
    </w:p>
    <w:p w:rsidR="00EF2D38" w:rsidRPr="00E65933" w:rsidRDefault="00EF2D38" w:rsidP="00EF2D38">
      <w:pPr>
        <w:pStyle w:val="BodyText"/>
        <w:spacing w:before="172" w:line="288" w:lineRule="auto"/>
        <w:ind w:left="102" w:right="288" w:firstLine="567"/>
        <w:jc w:val="both"/>
        <w:rPr>
          <w:sz w:val="26"/>
          <w:szCs w:val="26"/>
          <w:lang w:val="vi-VN" w:eastAsia="vi-VN"/>
        </w:rPr>
      </w:pPr>
      <w:r w:rsidRPr="00E65933">
        <w:rPr>
          <w:sz w:val="26"/>
          <w:szCs w:val="26"/>
          <w:lang w:eastAsia="vi-VN"/>
        </w:rPr>
        <w:t xml:space="preserve">- </w:t>
      </w:r>
      <w:r w:rsidRPr="00E65933">
        <w:rPr>
          <w:sz w:val="26"/>
          <w:szCs w:val="26"/>
          <w:lang w:val="vi-VN" w:eastAsia="vi-VN"/>
        </w:rPr>
        <w:t>Theo phương pháp chủ quan thì doanh nghiệp tự ấn định cho mỗi dự án đang xem xét một tỷ lệ chiết khấu tuỳ theo mức độ mạo hiểm của dự án đó mà doanh nghiệp đã đánh giá.</w:t>
      </w:r>
    </w:p>
    <w:p w:rsidR="00EF2D38" w:rsidRPr="00E65933" w:rsidRDefault="00EF2D38" w:rsidP="00EF2D38">
      <w:pPr>
        <w:pStyle w:val="BodyText"/>
        <w:spacing w:before="121" w:line="288" w:lineRule="auto"/>
        <w:ind w:left="101" w:right="287" w:firstLine="568"/>
        <w:jc w:val="both"/>
        <w:rPr>
          <w:sz w:val="26"/>
          <w:szCs w:val="26"/>
          <w:lang w:val="vi-VN" w:eastAsia="vi-VN"/>
        </w:rPr>
      </w:pPr>
      <w:r w:rsidRPr="00E65933">
        <w:rPr>
          <w:i/>
          <w:sz w:val="26"/>
          <w:szCs w:val="26"/>
          <w:lang w:val="vi-VN" w:eastAsia="vi-VN"/>
        </w:rPr>
        <w:lastRenderedPageBreak/>
        <w:t>Giả sử :</w:t>
      </w:r>
      <w:r w:rsidRPr="00E65933">
        <w:rPr>
          <w:sz w:val="26"/>
          <w:szCs w:val="26"/>
          <w:lang w:val="vi-VN" w:eastAsia="vi-VN"/>
        </w:rPr>
        <w:t xml:space="preserve"> Dự án an toàn (không có rủi ro) tỷ lệ chiết khấu là 8%, dự án có độ mạo hiểm thấp thì tỷ lệ chiết khấu là 10%, dự án có độ mạo hiểm cao thì tỷ lệ chiết khấu là 12%. Chênh lệch tỷ lệ chiết khấu giữa các mức độ mạo hiểm của dự án là 2% người ta gọi là phần dự phòng bù đắp rủi ro.</w:t>
      </w:r>
    </w:p>
    <w:p w:rsidR="00F35AD7" w:rsidRPr="00E65933" w:rsidRDefault="00EF2D38" w:rsidP="00EF2D38">
      <w:pPr>
        <w:spacing w:line="312" w:lineRule="auto"/>
        <w:ind w:firstLine="669"/>
        <w:jc w:val="both"/>
        <w:rPr>
          <w:sz w:val="26"/>
          <w:szCs w:val="26"/>
        </w:rPr>
      </w:pPr>
      <w:r w:rsidRPr="00E65933">
        <w:rPr>
          <w:sz w:val="26"/>
          <w:szCs w:val="26"/>
          <w:lang w:val="en-US"/>
        </w:rPr>
        <w:t xml:space="preserve">- </w:t>
      </w:r>
      <w:r w:rsidRPr="00E65933">
        <w:rPr>
          <w:sz w:val="26"/>
          <w:szCs w:val="26"/>
        </w:rPr>
        <w:t>Theo phương pháp khách quan, thì người ta dựa vào xác suất xuất hiện rủi ro để điều chỉnh tỷ lệ chiết khấu đầy đủ theo công thức:</w:t>
      </w:r>
    </w:p>
    <w:p w:rsidR="00AD3D85" w:rsidRPr="00E65933" w:rsidRDefault="00CE08C4" w:rsidP="00CE08C4">
      <w:pPr>
        <w:pStyle w:val="BodyText"/>
        <w:spacing w:line="288" w:lineRule="auto"/>
        <w:ind w:left="101" w:right="287" w:firstLine="567"/>
        <w:jc w:val="both"/>
        <w:rPr>
          <w:sz w:val="26"/>
          <w:szCs w:val="26"/>
          <w:lang w:val="vi-VN" w:eastAsia="vi-VN"/>
        </w:rPr>
      </w:pPr>
      <w:r w:rsidRPr="00E65933">
        <w:rPr>
          <w:sz w:val="26"/>
          <w:szCs w:val="26"/>
          <w:lang w:val="vi-VN" w:eastAsia="vi-VN"/>
        </w:rPr>
        <w:t xml:space="preserve">Tỷ lệ chiết khấu đầy đủ  </w:t>
      </w:r>
      <w:r w:rsidRPr="00E65933">
        <w:rPr>
          <w:sz w:val="26"/>
          <w:szCs w:val="26"/>
          <w:lang w:val="vi-VN" w:eastAsia="vi-VN"/>
        </w:rPr>
        <w:t xml:space="preserve">= </w:t>
      </w:r>
      <w:r w:rsidRPr="00E65933">
        <w:rPr>
          <w:sz w:val="26"/>
          <w:szCs w:val="26"/>
          <w:lang w:val="vi-VN" w:eastAsia="vi-VN"/>
        </w:rPr>
        <w:t>Tỷ lệ chiết khấu trong điều kiện an toàn</w:t>
      </w:r>
      <w:r w:rsidRPr="00E65933">
        <w:rPr>
          <w:sz w:val="26"/>
          <w:szCs w:val="26"/>
          <w:lang w:val="vi-VN" w:eastAsia="vi-VN"/>
        </w:rPr>
        <w:t>/</w:t>
      </w:r>
      <w:r w:rsidRPr="00E65933">
        <w:rPr>
          <w:sz w:val="26"/>
          <w:szCs w:val="26"/>
          <w:lang w:val="vi-VN" w:eastAsia="vi-VN"/>
        </w:rPr>
        <w:t>1- Xác suất xuất hiện rủi ro</w:t>
      </w:r>
    </w:p>
    <w:p w:rsidR="00CE08C4" w:rsidRPr="00E65933" w:rsidRDefault="00CE08C4" w:rsidP="00CE08C4">
      <w:pPr>
        <w:pStyle w:val="BodyText"/>
        <w:spacing w:line="288" w:lineRule="auto"/>
        <w:ind w:left="101" w:right="287" w:firstLine="567"/>
        <w:jc w:val="both"/>
        <w:rPr>
          <w:sz w:val="26"/>
          <w:szCs w:val="26"/>
          <w:lang w:val="vi-VN" w:eastAsia="vi-VN"/>
        </w:rPr>
      </w:pPr>
      <w:r w:rsidRPr="00E65933">
        <w:rPr>
          <w:i/>
          <w:sz w:val="26"/>
          <w:szCs w:val="26"/>
          <w:lang w:val="vi-VN" w:eastAsia="vi-VN"/>
        </w:rPr>
        <w:t>Ví dụ:</w:t>
      </w:r>
      <w:r w:rsidRPr="00E65933">
        <w:rPr>
          <w:sz w:val="26"/>
          <w:szCs w:val="26"/>
          <w:lang w:val="vi-VN" w:eastAsia="vi-VN"/>
        </w:rPr>
        <w:t xml:space="preserve"> </w:t>
      </w:r>
      <w:r w:rsidRPr="00E65933">
        <w:rPr>
          <w:sz w:val="26"/>
          <w:szCs w:val="26"/>
          <w:lang w:val="vi-VN" w:eastAsia="vi-VN"/>
        </w:rPr>
        <w:t>Giả sử công ty khai thác quặng kim loại quý đang xem xét thăm dò khai thác ở 2 khu vực A và B. Trong 100 mẫu lấy về ở mỗi khu vực cho thấy: ở khu vực A có 50 mẫu và khu vực B có 80 mẫu đạt hàm lượng quặng có thể khai thác được. Chi phí vốn của công ty là 8%.</w:t>
      </w:r>
    </w:p>
    <w:p w:rsidR="00CE08C4" w:rsidRPr="00E65933" w:rsidRDefault="00CE08C4" w:rsidP="00A377B1">
      <w:pPr>
        <w:pStyle w:val="BodyText"/>
        <w:spacing w:before="121"/>
        <w:ind w:right="206" w:firstLine="668"/>
        <w:rPr>
          <w:sz w:val="26"/>
          <w:szCs w:val="26"/>
          <w:lang w:val="vi-VN" w:eastAsia="vi-VN"/>
        </w:rPr>
      </w:pPr>
      <w:r w:rsidRPr="00E65933">
        <w:rPr>
          <w:sz w:val="26"/>
          <w:szCs w:val="26"/>
          <w:lang w:val="vi-VN" w:eastAsia="vi-VN"/>
        </w:rPr>
        <w:t>Như vậy xác suất rủi ro ở khu vực A là 0,5 (1-0,5) còn xác suất rủi ro ở khu vực B là 0,2 (1-</w:t>
      </w:r>
      <w:r w:rsidRPr="00E65933">
        <w:rPr>
          <w:sz w:val="26"/>
          <w:szCs w:val="26"/>
          <w:lang w:val="vi-VN" w:eastAsia="vi-VN"/>
        </w:rPr>
        <w:t xml:space="preserve"> 0,8)</w:t>
      </w:r>
    </w:p>
    <w:p w:rsidR="00C63BD6" w:rsidRPr="00E65933" w:rsidRDefault="00C63BD6" w:rsidP="00C63BD6">
      <w:pPr>
        <w:pStyle w:val="BodyText"/>
        <w:ind w:left="102" w:right="-18"/>
        <w:rPr>
          <w:sz w:val="26"/>
          <w:szCs w:val="26"/>
        </w:rPr>
      </w:pPr>
      <w:r w:rsidRPr="00E65933">
        <w:rPr>
          <w:sz w:val="26"/>
          <w:szCs w:val="26"/>
        </w:rPr>
        <w:t>Tỷ lệ chiết khấu đầy đủ :</w:t>
      </w:r>
    </w:p>
    <w:p w:rsidR="00CE08C4" w:rsidRPr="00E65933" w:rsidRDefault="00C63BD6" w:rsidP="00F928E1">
      <w:pPr>
        <w:spacing w:before="120" w:after="120" w:line="312" w:lineRule="auto"/>
        <w:jc w:val="both"/>
        <w:rPr>
          <w:sz w:val="26"/>
          <w:szCs w:val="26"/>
          <w:lang w:val="en-US"/>
        </w:rPr>
      </w:pPr>
      <w:r w:rsidRPr="00E65933">
        <w:rPr>
          <w:sz w:val="26"/>
          <w:szCs w:val="26"/>
          <w:lang w:val="en-US"/>
        </w:rPr>
        <w:t xml:space="preserve">- </w:t>
      </w:r>
      <w:r w:rsidRPr="00E65933">
        <w:rPr>
          <w:sz w:val="26"/>
          <w:szCs w:val="26"/>
        </w:rPr>
        <w:t>Ở khu vực A</w:t>
      </w:r>
      <w:r w:rsidRPr="00E65933">
        <w:rPr>
          <w:sz w:val="26"/>
          <w:szCs w:val="26"/>
          <w:lang w:val="en-US"/>
        </w:rPr>
        <w:t xml:space="preserve"> = 8%/(1-0,5)= 16%</w:t>
      </w:r>
    </w:p>
    <w:p w:rsidR="00C63BD6" w:rsidRPr="00E65933" w:rsidRDefault="00C63BD6" w:rsidP="00F928E1">
      <w:pPr>
        <w:spacing w:before="120" w:after="120" w:line="312" w:lineRule="auto"/>
        <w:jc w:val="both"/>
        <w:rPr>
          <w:sz w:val="26"/>
          <w:szCs w:val="26"/>
          <w:lang w:val="en-US"/>
        </w:rPr>
      </w:pPr>
      <w:r w:rsidRPr="00E65933">
        <w:rPr>
          <w:sz w:val="26"/>
          <w:szCs w:val="26"/>
          <w:lang w:val="en-US"/>
        </w:rPr>
        <w:t>- Ở khu vực B = 8%/(1-0,2) = 10%</w:t>
      </w:r>
    </w:p>
    <w:p w:rsidR="00245FF6" w:rsidRPr="00E65933" w:rsidRDefault="00245FF6" w:rsidP="00E65933">
      <w:pPr>
        <w:pStyle w:val="BodyText"/>
        <w:spacing w:line="288" w:lineRule="auto"/>
        <w:ind w:left="669" w:right="206"/>
        <w:rPr>
          <w:sz w:val="26"/>
          <w:szCs w:val="26"/>
          <w:lang w:val="vi-VN" w:eastAsia="vi-VN"/>
        </w:rPr>
      </w:pPr>
      <w:r w:rsidRPr="00E65933">
        <w:rPr>
          <w:sz w:val="26"/>
          <w:szCs w:val="26"/>
          <w:lang w:val="vi-VN" w:eastAsia="vi-VN"/>
        </w:rPr>
        <w:t xml:space="preserve">Các </w:t>
      </w:r>
      <w:r w:rsidRPr="00E65933">
        <w:rPr>
          <w:sz w:val="26"/>
          <w:szCs w:val="26"/>
          <w:lang w:val="vi-VN" w:eastAsia="vi-VN"/>
        </w:rPr>
        <w:t>số liệu thông tin</w:t>
      </w:r>
      <w:r w:rsidRPr="00E65933">
        <w:rPr>
          <w:sz w:val="26"/>
          <w:szCs w:val="26"/>
          <w:lang w:val="vi-VN" w:eastAsia="vi-VN"/>
        </w:rPr>
        <w:t xml:space="preserve"> </w:t>
      </w:r>
      <w:r w:rsidRPr="00E65933">
        <w:rPr>
          <w:sz w:val="26"/>
          <w:szCs w:val="26"/>
          <w:lang w:val="vi-VN" w:eastAsia="vi-VN"/>
        </w:rPr>
        <w:t>đã tập hợp như sau:</w:t>
      </w:r>
    </w:p>
    <w:p w:rsidR="00245FF6" w:rsidRPr="00E65933" w:rsidRDefault="00245FF6" w:rsidP="00E65933">
      <w:pPr>
        <w:pStyle w:val="BodyText"/>
        <w:spacing w:line="288" w:lineRule="auto"/>
        <w:ind w:left="801" w:right="339"/>
        <w:rPr>
          <w:sz w:val="26"/>
          <w:szCs w:val="26"/>
          <w:lang w:val="vi-VN" w:eastAsia="vi-VN"/>
        </w:rPr>
      </w:pPr>
      <w:r w:rsidRPr="00E65933">
        <w:rPr>
          <w:sz w:val="26"/>
          <w:szCs w:val="26"/>
          <w:lang w:val="vi-VN" w:eastAsia="vi-VN"/>
        </w:rPr>
        <w:t>- Khu vực A :</w:t>
      </w:r>
    </w:p>
    <w:p w:rsidR="00245FF6" w:rsidRPr="00E65933" w:rsidRDefault="00245FF6" w:rsidP="00E65933">
      <w:pPr>
        <w:pStyle w:val="BodyText"/>
        <w:tabs>
          <w:tab w:val="left" w:pos="5994"/>
        </w:tabs>
        <w:spacing w:line="288" w:lineRule="auto"/>
        <w:ind w:left="801" w:right="339"/>
        <w:rPr>
          <w:sz w:val="26"/>
          <w:szCs w:val="26"/>
          <w:lang w:val="vi-VN" w:eastAsia="vi-VN"/>
        </w:rPr>
      </w:pPr>
      <w:r w:rsidRPr="00E65933">
        <w:rPr>
          <w:sz w:val="26"/>
          <w:szCs w:val="26"/>
          <w:lang w:val="vi-VN" w:eastAsia="vi-VN"/>
        </w:rPr>
        <w:t>+ Chi phí vốn đầu tư ban đầu mua sắm máy móc</w:t>
      </w:r>
      <w:r w:rsidRPr="00E65933">
        <w:rPr>
          <w:sz w:val="26"/>
          <w:szCs w:val="26"/>
          <w:lang w:val="vi-VN" w:eastAsia="vi-VN"/>
        </w:rPr>
        <w:tab/>
        <w:t>350 triệu</w:t>
      </w:r>
    </w:p>
    <w:p w:rsidR="00A20346" w:rsidRPr="00E65933" w:rsidRDefault="00245FF6" w:rsidP="00E65933">
      <w:pPr>
        <w:pStyle w:val="BodyText"/>
        <w:spacing w:line="288" w:lineRule="auto"/>
        <w:ind w:firstLine="720"/>
        <w:jc w:val="both"/>
        <w:rPr>
          <w:sz w:val="26"/>
          <w:szCs w:val="26"/>
          <w:lang w:val="vi-VN" w:eastAsia="vi-VN"/>
        </w:rPr>
      </w:pPr>
      <w:r w:rsidRPr="00E65933">
        <w:rPr>
          <w:sz w:val="26"/>
          <w:szCs w:val="26"/>
          <w:lang w:val="vi-VN" w:eastAsia="vi-VN"/>
        </w:rPr>
        <w:t xml:space="preserve">+ </w:t>
      </w:r>
      <w:r w:rsidRPr="00E65933">
        <w:rPr>
          <w:sz w:val="26"/>
          <w:szCs w:val="26"/>
          <w:lang w:val="vi-VN" w:eastAsia="vi-VN"/>
        </w:rPr>
        <w:t>Nhu cầu vốn lưu động</w:t>
      </w:r>
      <w:r w:rsidRPr="00E65933">
        <w:rPr>
          <w:sz w:val="26"/>
          <w:szCs w:val="26"/>
          <w:lang w:val="vi-VN" w:eastAsia="vi-VN"/>
        </w:rPr>
        <w:tab/>
      </w:r>
      <w:r w:rsidRPr="00E65933">
        <w:rPr>
          <w:sz w:val="26"/>
          <w:szCs w:val="26"/>
          <w:lang w:val="vi-VN" w:eastAsia="vi-VN"/>
        </w:rPr>
        <w:tab/>
      </w:r>
      <w:r w:rsidRPr="00E65933">
        <w:rPr>
          <w:sz w:val="26"/>
          <w:szCs w:val="26"/>
          <w:lang w:val="vi-VN" w:eastAsia="vi-VN"/>
        </w:rPr>
        <w:tab/>
      </w:r>
      <w:r w:rsidRPr="00E65933">
        <w:rPr>
          <w:sz w:val="26"/>
          <w:szCs w:val="26"/>
          <w:lang w:val="vi-VN" w:eastAsia="vi-VN"/>
        </w:rPr>
        <w:tab/>
      </w:r>
      <w:r w:rsidR="00521B1E" w:rsidRPr="00E65933">
        <w:rPr>
          <w:sz w:val="26"/>
          <w:szCs w:val="26"/>
          <w:lang w:val="vi-VN" w:eastAsia="vi-VN"/>
        </w:rPr>
        <w:t xml:space="preserve">    </w:t>
      </w:r>
      <w:r w:rsidRPr="00E65933">
        <w:rPr>
          <w:sz w:val="26"/>
          <w:szCs w:val="26"/>
          <w:lang w:val="vi-VN" w:eastAsia="vi-VN"/>
        </w:rPr>
        <w:t>50 triệu</w:t>
      </w:r>
    </w:p>
    <w:p w:rsidR="00A20346" w:rsidRPr="00E65933" w:rsidRDefault="00521B1E" w:rsidP="00E65933">
      <w:pPr>
        <w:pStyle w:val="BodyText"/>
        <w:spacing w:line="288" w:lineRule="auto"/>
        <w:ind w:firstLine="720"/>
        <w:jc w:val="both"/>
        <w:rPr>
          <w:sz w:val="26"/>
          <w:szCs w:val="26"/>
          <w:lang w:val="vi-VN" w:eastAsia="vi-VN"/>
        </w:rPr>
      </w:pPr>
      <w:r w:rsidRPr="00E65933">
        <w:rPr>
          <w:sz w:val="26"/>
          <w:szCs w:val="26"/>
          <w:lang w:val="vi-VN" w:eastAsia="vi-VN"/>
        </w:rPr>
        <w:t xml:space="preserve">+ </w:t>
      </w:r>
      <w:r w:rsidRPr="00E65933">
        <w:rPr>
          <w:sz w:val="26"/>
          <w:szCs w:val="26"/>
          <w:lang w:val="vi-VN" w:eastAsia="vi-VN"/>
        </w:rPr>
        <w:t>Dự tính khai thác trong 5 năm mỏ sẽ cạn kiệt.</w:t>
      </w:r>
    </w:p>
    <w:p w:rsidR="00521B1E" w:rsidRPr="00E65933" w:rsidRDefault="00521B1E" w:rsidP="00E65933">
      <w:pPr>
        <w:pStyle w:val="BodyText"/>
        <w:spacing w:line="288" w:lineRule="auto"/>
        <w:ind w:firstLine="720"/>
        <w:jc w:val="both"/>
        <w:rPr>
          <w:sz w:val="26"/>
          <w:szCs w:val="26"/>
          <w:lang w:val="vi-VN" w:eastAsia="vi-VN"/>
        </w:rPr>
      </w:pPr>
      <w:r w:rsidRPr="00E65933">
        <w:rPr>
          <w:sz w:val="26"/>
          <w:szCs w:val="26"/>
          <w:lang w:val="vi-VN" w:eastAsia="vi-VN"/>
        </w:rPr>
        <w:t xml:space="preserve">+ </w:t>
      </w:r>
      <w:r w:rsidRPr="00E65933">
        <w:rPr>
          <w:sz w:val="26"/>
          <w:szCs w:val="26"/>
          <w:lang w:val="vi-VN" w:eastAsia="vi-VN"/>
        </w:rPr>
        <w:t>Chi phí sửa chữa đường đi lại trong năm thứ 3</w:t>
      </w:r>
      <w:r w:rsidRPr="00E65933">
        <w:rPr>
          <w:sz w:val="26"/>
          <w:szCs w:val="26"/>
          <w:lang w:val="vi-VN" w:eastAsia="vi-VN"/>
        </w:rPr>
        <w:tab/>
        <w:t>10 triệu</w:t>
      </w:r>
    </w:p>
    <w:p w:rsidR="00521B1E" w:rsidRPr="00E65933" w:rsidRDefault="00521B1E" w:rsidP="00E65933">
      <w:pPr>
        <w:spacing w:line="288" w:lineRule="auto"/>
        <w:ind w:left="1" w:right="-19" w:firstLine="719"/>
        <w:rPr>
          <w:sz w:val="26"/>
          <w:szCs w:val="26"/>
        </w:rPr>
      </w:pPr>
      <w:r w:rsidRPr="00E65933">
        <w:rPr>
          <w:sz w:val="26"/>
          <w:szCs w:val="26"/>
        </w:rPr>
        <w:t xml:space="preserve">+ </w:t>
      </w:r>
      <w:r w:rsidRPr="00E65933">
        <w:rPr>
          <w:sz w:val="26"/>
          <w:szCs w:val="26"/>
        </w:rPr>
        <w:t>Giá trị máy móc thanh lý khi hết sử dụng</w:t>
      </w:r>
      <w:r w:rsidRPr="00E65933">
        <w:rPr>
          <w:sz w:val="26"/>
          <w:szCs w:val="26"/>
        </w:rPr>
        <w:tab/>
      </w:r>
      <w:r w:rsidRPr="00E65933">
        <w:rPr>
          <w:sz w:val="26"/>
          <w:szCs w:val="26"/>
        </w:rPr>
        <w:tab/>
        <w:t>40 triệu</w:t>
      </w:r>
    </w:p>
    <w:p w:rsidR="00E65933" w:rsidRPr="00E65933" w:rsidRDefault="00E65933" w:rsidP="00E65933">
      <w:pPr>
        <w:spacing w:line="288" w:lineRule="auto"/>
        <w:ind w:right="-6" w:firstLine="720"/>
        <w:rPr>
          <w:sz w:val="26"/>
          <w:szCs w:val="26"/>
        </w:rPr>
      </w:pPr>
      <w:r w:rsidRPr="00E65933">
        <w:rPr>
          <w:sz w:val="26"/>
          <w:szCs w:val="26"/>
        </w:rPr>
        <w:t xml:space="preserve">+ </w:t>
      </w:r>
      <w:r w:rsidRPr="00E65933">
        <w:rPr>
          <w:sz w:val="26"/>
          <w:szCs w:val="26"/>
        </w:rPr>
        <w:t>Thu nhập từ khấu hao và lợi nhuận sau thuế hàng năm</w:t>
      </w:r>
      <w:r w:rsidRPr="00E65933">
        <w:rPr>
          <w:sz w:val="26"/>
          <w:szCs w:val="26"/>
        </w:rPr>
        <w:t xml:space="preserve"> </w:t>
      </w:r>
      <w:r w:rsidRPr="00E65933">
        <w:rPr>
          <w:sz w:val="26"/>
          <w:szCs w:val="26"/>
        </w:rPr>
        <w:t>110 triệu</w:t>
      </w:r>
    </w:p>
    <w:p w:rsidR="00E65933" w:rsidRPr="00E65933" w:rsidRDefault="00E65933" w:rsidP="00E65933">
      <w:pPr>
        <w:spacing w:line="288" w:lineRule="auto"/>
        <w:ind w:right="-6"/>
        <w:rPr>
          <w:sz w:val="26"/>
          <w:szCs w:val="26"/>
        </w:rPr>
      </w:pPr>
      <w:r w:rsidRPr="00E65933">
        <w:rPr>
          <w:sz w:val="26"/>
          <w:szCs w:val="26"/>
        </w:rPr>
        <w:t>- Khu vực B:</w:t>
      </w:r>
    </w:p>
    <w:p w:rsidR="00E65933" w:rsidRPr="00E65933" w:rsidRDefault="00E65933" w:rsidP="00E65933">
      <w:pPr>
        <w:spacing w:line="288" w:lineRule="auto"/>
        <w:ind w:left="2" w:right="-19"/>
        <w:rPr>
          <w:sz w:val="26"/>
          <w:szCs w:val="26"/>
        </w:rPr>
      </w:pPr>
      <w:r w:rsidRPr="00E65933">
        <w:rPr>
          <w:sz w:val="26"/>
          <w:szCs w:val="26"/>
        </w:rPr>
        <w:t xml:space="preserve">+ </w:t>
      </w:r>
      <w:r w:rsidRPr="00E65933">
        <w:rPr>
          <w:sz w:val="26"/>
          <w:szCs w:val="26"/>
        </w:rPr>
        <w:t>Chi phí vốn đầu tư ban đầu mua sắm thiết bị</w:t>
      </w:r>
      <w:r w:rsidRPr="00E65933">
        <w:rPr>
          <w:sz w:val="26"/>
          <w:szCs w:val="26"/>
        </w:rPr>
        <w:t xml:space="preserve"> </w:t>
      </w:r>
      <w:r w:rsidRPr="00E65933">
        <w:rPr>
          <w:sz w:val="26"/>
          <w:szCs w:val="26"/>
        </w:rPr>
        <w:tab/>
        <w:t>500tr</w:t>
      </w:r>
    </w:p>
    <w:p w:rsidR="00E65933" w:rsidRPr="00E65933" w:rsidRDefault="00E65933" w:rsidP="00E65933">
      <w:pPr>
        <w:spacing w:line="288" w:lineRule="auto"/>
        <w:ind w:right="-19"/>
        <w:rPr>
          <w:sz w:val="26"/>
          <w:szCs w:val="26"/>
        </w:rPr>
      </w:pPr>
      <w:r w:rsidRPr="00E65933">
        <w:rPr>
          <w:sz w:val="26"/>
          <w:szCs w:val="26"/>
        </w:rPr>
        <w:t>+ Nhu cầu vốn lưu động</w:t>
      </w:r>
      <w:r w:rsidRPr="00E65933">
        <w:rPr>
          <w:sz w:val="26"/>
          <w:szCs w:val="26"/>
        </w:rPr>
        <w:tab/>
      </w:r>
      <w:r w:rsidRPr="00E65933">
        <w:rPr>
          <w:sz w:val="26"/>
          <w:szCs w:val="26"/>
        </w:rPr>
        <w:tab/>
      </w:r>
      <w:r w:rsidRPr="00E65933">
        <w:rPr>
          <w:sz w:val="26"/>
          <w:szCs w:val="26"/>
        </w:rPr>
        <w:tab/>
      </w:r>
      <w:r w:rsidRPr="00E65933">
        <w:rPr>
          <w:sz w:val="26"/>
          <w:szCs w:val="26"/>
        </w:rPr>
        <w:tab/>
        <w:t>80 triệu</w:t>
      </w:r>
    </w:p>
    <w:p w:rsidR="00E65933" w:rsidRPr="00E65933" w:rsidRDefault="00E65933" w:rsidP="00E65933">
      <w:pPr>
        <w:spacing w:line="288" w:lineRule="auto"/>
        <w:ind w:right="-19"/>
        <w:rPr>
          <w:sz w:val="26"/>
          <w:szCs w:val="26"/>
        </w:rPr>
      </w:pPr>
      <w:r w:rsidRPr="00E65933">
        <w:rPr>
          <w:sz w:val="26"/>
          <w:szCs w:val="26"/>
        </w:rPr>
        <w:t>+ Dự tính khai thác trong 10 năm mỏ sẽ cạn kiệt.</w:t>
      </w:r>
    </w:p>
    <w:p w:rsidR="00E65933" w:rsidRPr="00E65933" w:rsidRDefault="00E65933" w:rsidP="00E65933">
      <w:pPr>
        <w:spacing w:line="288" w:lineRule="auto"/>
        <w:ind w:right="-19"/>
        <w:rPr>
          <w:sz w:val="26"/>
          <w:szCs w:val="26"/>
        </w:rPr>
      </w:pPr>
      <w:r w:rsidRPr="00E65933">
        <w:rPr>
          <w:sz w:val="26"/>
          <w:szCs w:val="26"/>
        </w:rPr>
        <w:t>+ Chi phí sửa chữa đường đi lại trong năm thứ 5</w:t>
      </w:r>
      <w:r w:rsidRPr="00E65933">
        <w:rPr>
          <w:sz w:val="26"/>
          <w:szCs w:val="26"/>
        </w:rPr>
        <w:t xml:space="preserve"> </w:t>
      </w:r>
      <w:r w:rsidRPr="00E65933">
        <w:rPr>
          <w:sz w:val="26"/>
          <w:szCs w:val="26"/>
        </w:rPr>
        <w:tab/>
        <w:t>50 triệu</w:t>
      </w:r>
    </w:p>
    <w:p w:rsidR="00E65933" w:rsidRPr="00E65933" w:rsidRDefault="00E65933" w:rsidP="00E65933">
      <w:pPr>
        <w:spacing w:line="288" w:lineRule="auto"/>
        <w:ind w:left="1" w:right="-19"/>
        <w:rPr>
          <w:sz w:val="26"/>
          <w:szCs w:val="26"/>
        </w:rPr>
      </w:pPr>
      <w:r w:rsidRPr="00E65933">
        <w:rPr>
          <w:sz w:val="26"/>
          <w:szCs w:val="26"/>
        </w:rPr>
        <w:t>+ Giá trị tài sản thanh lý không đáng kể.</w:t>
      </w:r>
    </w:p>
    <w:p w:rsidR="00E65933" w:rsidRPr="00E65933" w:rsidRDefault="00E65933" w:rsidP="00E65933">
      <w:pPr>
        <w:spacing w:line="288" w:lineRule="auto"/>
        <w:ind w:left="1"/>
        <w:rPr>
          <w:sz w:val="26"/>
          <w:szCs w:val="26"/>
        </w:rPr>
      </w:pPr>
      <w:r w:rsidRPr="00E65933">
        <w:rPr>
          <w:sz w:val="26"/>
          <w:szCs w:val="26"/>
        </w:rPr>
        <w:t>+ Thu nhập từ khấu hao và lợi nhuận hàng năm sau thuế100 triệu.</w:t>
      </w:r>
    </w:p>
    <w:p w:rsidR="00000C29" w:rsidRDefault="00E65933" w:rsidP="00E65933">
      <w:pPr>
        <w:pStyle w:val="BodyText"/>
        <w:spacing w:line="288" w:lineRule="auto"/>
        <w:jc w:val="both"/>
        <w:rPr>
          <w:sz w:val="26"/>
          <w:szCs w:val="26"/>
          <w:lang w:eastAsia="vi-VN"/>
        </w:rPr>
      </w:pPr>
      <w:r w:rsidRPr="00E65933">
        <w:rPr>
          <w:sz w:val="26"/>
          <w:szCs w:val="26"/>
          <w:lang w:val="vi-VN" w:eastAsia="vi-VN"/>
        </w:rPr>
        <w:t xml:space="preserve">Đây là 2 dự án độc lập, nếu chúng đều thoả mãn các điều kiện về đầu tư thì đều được </w:t>
      </w:r>
      <w:r w:rsidR="00000C29">
        <w:rPr>
          <w:sz w:val="26"/>
          <w:szCs w:val="26"/>
          <w:lang w:val="vi-VN" w:eastAsia="vi-VN"/>
        </w:rPr>
        <w:t>chọn</w:t>
      </w:r>
      <w:r w:rsidR="00000C29">
        <w:rPr>
          <w:sz w:val="26"/>
          <w:szCs w:val="26"/>
          <w:lang w:eastAsia="vi-VN"/>
        </w:rPr>
        <w:t xml:space="preserve"> thì sẽ chọn dự án nào?</w:t>
      </w:r>
    </w:p>
    <w:p w:rsidR="00521B1E" w:rsidRPr="00000C29" w:rsidRDefault="00E65933" w:rsidP="00E65933">
      <w:pPr>
        <w:pStyle w:val="BodyText"/>
        <w:spacing w:line="288" w:lineRule="auto"/>
        <w:jc w:val="both"/>
        <w:rPr>
          <w:sz w:val="26"/>
          <w:szCs w:val="26"/>
          <w:lang w:eastAsia="vi-VN"/>
        </w:rPr>
      </w:pPr>
      <w:r w:rsidRPr="00E65933">
        <w:rPr>
          <w:sz w:val="26"/>
          <w:szCs w:val="26"/>
          <w:lang w:val="vi-VN" w:eastAsia="vi-VN"/>
        </w:rPr>
        <w:t xml:space="preserve"> Theo phương pháp giá trị hiện tại ròng ta có bảng phân tích sau</w:t>
      </w:r>
      <w:r w:rsidR="00000C29">
        <w:rPr>
          <w:sz w:val="26"/>
          <w:szCs w:val="26"/>
          <w:lang w:eastAsia="vi-VN"/>
        </w:rPr>
        <w:t>( ĐVT: triệu đồng)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1134"/>
        <w:gridCol w:w="1134"/>
        <w:gridCol w:w="1702"/>
        <w:gridCol w:w="1381"/>
      </w:tblGrid>
      <w:tr w:rsidR="00000C29" w:rsidRPr="00000C29" w:rsidTr="007A4774">
        <w:trPr>
          <w:trHeight w:hRule="exact" w:val="708"/>
        </w:trPr>
        <w:tc>
          <w:tcPr>
            <w:tcW w:w="3652" w:type="dxa"/>
            <w:tcBorders>
              <w:bottom w:val="single" w:sz="6" w:space="0" w:color="000000"/>
              <w:right w:val="single" w:sz="6" w:space="0" w:color="000000"/>
            </w:tcBorders>
          </w:tcPr>
          <w:p w:rsidR="00000C29" w:rsidRPr="00000C29" w:rsidRDefault="00000C29" w:rsidP="007A4774">
            <w:pPr>
              <w:pStyle w:val="TableParagraph"/>
              <w:spacing w:before="156"/>
              <w:rPr>
                <w:rFonts w:ascii="Times New Roman" w:hAnsi="Times New Roman" w:cs="Times New Roman"/>
                <w:sz w:val="26"/>
                <w:szCs w:val="26"/>
              </w:rPr>
            </w:pPr>
            <w:r w:rsidRPr="00000C29">
              <w:rPr>
                <w:rFonts w:ascii="Times New Roman" w:hAnsi="Times New Roman" w:cs="Times New Roman"/>
                <w:sz w:val="26"/>
                <w:szCs w:val="26"/>
              </w:rPr>
              <w:t>Chi tiêu</w:t>
            </w: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156"/>
              <w:ind w:left="101"/>
              <w:rPr>
                <w:rFonts w:ascii="Times New Roman" w:hAnsi="Times New Roman" w:cs="Times New Roman"/>
                <w:sz w:val="26"/>
                <w:szCs w:val="26"/>
              </w:rPr>
            </w:pPr>
            <w:r w:rsidRPr="00000C29">
              <w:rPr>
                <w:rFonts w:ascii="Times New Roman" w:hAnsi="Times New Roman" w:cs="Times New Roman"/>
                <w:sz w:val="26"/>
                <w:szCs w:val="26"/>
              </w:rPr>
              <w:t>Năm</w:t>
            </w: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156"/>
              <w:ind w:left="101"/>
              <w:rPr>
                <w:rFonts w:ascii="Times New Roman" w:hAnsi="Times New Roman" w:cs="Times New Roman"/>
                <w:sz w:val="26"/>
                <w:szCs w:val="26"/>
              </w:rPr>
            </w:pPr>
            <w:r w:rsidRPr="00000C29">
              <w:rPr>
                <w:rFonts w:ascii="Times New Roman" w:hAnsi="Times New Roman" w:cs="Times New Roman"/>
                <w:sz w:val="26"/>
                <w:szCs w:val="26"/>
              </w:rPr>
              <w:t>Dòng tiền</w:t>
            </w:r>
          </w:p>
        </w:tc>
        <w:tc>
          <w:tcPr>
            <w:tcW w:w="1702"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line="288" w:lineRule="auto"/>
              <w:ind w:left="101" w:right="79"/>
              <w:rPr>
                <w:rFonts w:ascii="Times New Roman" w:hAnsi="Times New Roman" w:cs="Times New Roman"/>
                <w:sz w:val="26"/>
                <w:szCs w:val="26"/>
              </w:rPr>
            </w:pPr>
            <w:r w:rsidRPr="00000C29">
              <w:rPr>
                <w:rFonts w:ascii="Times New Roman" w:hAnsi="Times New Roman" w:cs="Times New Roman"/>
                <w:sz w:val="26"/>
                <w:szCs w:val="26"/>
              </w:rPr>
              <w:t>Hệ số giá trị hiện tại</w:t>
            </w:r>
          </w:p>
        </w:tc>
        <w:tc>
          <w:tcPr>
            <w:tcW w:w="1381" w:type="dxa"/>
            <w:tcBorders>
              <w:left w:val="single" w:sz="6" w:space="0" w:color="000000"/>
              <w:bottom w:val="single" w:sz="6" w:space="0" w:color="000000"/>
            </w:tcBorders>
          </w:tcPr>
          <w:p w:rsidR="00000C29" w:rsidRPr="00000C29" w:rsidRDefault="00000C29" w:rsidP="007A4774">
            <w:pPr>
              <w:pStyle w:val="TableParagraph"/>
              <w:spacing w:line="288" w:lineRule="auto"/>
              <w:ind w:left="101" w:right="10"/>
              <w:rPr>
                <w:rFonts w:ascii="Times New Roman" w:hAnsi="Times New Roman" w:cs="Times New Roman"/>
                <w:sz w:val="26"/>
                <w:szCs w:val="26"/>
              </w:rPr>
            </w:pPr>
            <w:r w:rsidRPr="00000C29">
              <w:rPr>
                <w:rFonts w:ascii="Times New Roman" w:hAnsi="Times New Roman" w:cs="Times New Roman"/>
                <w:sz w:val="26"/>
                <w:szCs w:val="26"/>
              </w:rPr>
              <w:t>Giá trị hiện tại</w:t>
            </w:r>
          </w:p>
        </w:tc>
      </w:tr>
      <w:tr w:rsidR="00000C29" w:rsidRPr="00000C29" w:rsidTr="007A4774">
        <w:trPr>
          <w:trHeight w:hRule="exact" w:val="392"/>
        </w:trPr>
        <w:tc>
          <w:tcPr>
            <w:tcW w:w="3652" w:type="dxa"/>
            <w:tcBorders>
              <w:top w:val="single" w:sz="6" w:space="0" w:color="000000"/>
              <w:bottom w:val="single" w:sz="6" w:space="0" w:color="000000"/>
              <w:right w:val="single" w:sz="6" w:space="0" w:color="000000"/>
            </w:tcBorders>
          </w:tcPr>
          <w:p w:rsidR="00000C29" w:rsidRPr="00000C29" w:rsidRDefault="00000C29" w:rsidP="007A4774">
            <w:pPr>
              <w:pStyle w:val="TableParagraph"/>
              <w:rPr>
                <w:rFonts w:ascii="Times New Roman" w:hAnsi="Times New Roman" w:cs="Times New Roman"/>
                <w:sz w:val="26"/>
                <w:szCs w:val="26"/>
              </w:rPr>
            </w:pPr>
            <w:r w:rsidRPr="00000C29">
              <w:rPr>
                <w:rFonts w:ascii="Times New Roman" w:hAnsi="Times New Roman" w:cs="Times New Roman"/>
                <w:sz w:val="26"/>
                <w:szCs w:val="26"/>
              </w:rPr>
              <w:lastRenderedPageBreak/>
              <w:t>1</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2</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3</w:t>
            </w: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4</w:t>
            </w:r>
          </w:p>
        </w:tc>
        <w:tc>
          <w:tcPr>
            <w:tcW w:w="1381" w:type="dxa"/>
            <w:tcBorders>
              <w:top w:val="single" w:sz="6" w:space="0" w:color="000000"/>
              <w:left w:val="single" w:sz="6" w:space="0" w:color="000000"/>
              <w:bottom w:val="single" w:sz="6" w:space="0" w:color="000000"/>
            </w:tcBorders>
          </w:tcPr>
          <w:p w:rsidR="00000C29" w:rsidRPr="00000C29" w:rsidRDefault="00000C29" w:rsidP="007A4774">
            <w:pPr>
              <w:pStyle w:val="TableParagraph"/>
              <w:ind w:left="100" w:right="10"/>
              <w:rPr>
                <w:rFonts w:ascii="Times New Roman" w:hAnsi="Times New Roman" w:cs="Times New Roman"/>
                <w:sz w:val="26"/>
                <w:szCs w:val="26"/>
              </w:rPr>
            </w:pPr>
            <w:r>
              <w:rPr>
                <w:rFonts w:ascii="Times New Roman" w:hAnsi="Times New Roman" w:cs="Times New Roman"/>
                <w:sz w:val="26"/>
                <w:szCs w:val="26"/>
              </w:rPr>
              <w:t>5=</w:t>
            </w:r>
            <w:r w:rsidRPr="00000C29">
              <w:rPr>
                <w:rFonts w:ascii="Times New Roman" w:hAnsi="Times New Roman" w:cs="Times New Roman"/>
                <w:sz w:val="26"/>
                <w:szCs w:val="26"/>
              </w:rPr>
              <w:t>3x4</w:t>
            </w:r>
          </w:p>
        </w:tc>
      </w:tr>
      <w:tr w:rsidR="00000C29" w:rsidRPr="00000C29" w:rsidTr="007A4774">
        <w:trPr>
          <w:trHeight w:hRule="exact" w:val="543"/>
        </w:trPr>
        <w:tc>
          <w:tcPr>
            <w:tcW w:w="3652" w:type="dxa"/>
            <w:vMerge w:val="restart"/>
            <w:tcBorders>
              <w:top w:val="single" w:sz="6" w:space="0" w:color="000000"/>
              <w:right w:val="single" w:sz="6" w:space="0" w:color="000000"/>
            </w:tcBorders>
          </w:tcPr>
          <w:p w:rsidR="00000C29" w:rsidRPr="00000C29" w:rsidRDefault="00000C29" w:rsidP="007A4774">
            <w:pPr>
              <w:pStyle w:val="TableParagraph"/>
              <w:spacing w:before="1"/>
              <w:ind w:left="670"/>
              <w:rPr>
                <w:rFonts w:ascii="Times New Roman" w:hAnsi="Times New Roman" w:cs="Times New Roman"/>
                <w:i/>
                <w:sz w:val="26"/>
                <w:szCs w:val="26"/>
              </w:rPr>
            </w:pPr>
            <w:r w:rsidRPr="00000C29">
              <w:rPr>
                <w:rFonts w:ascii="Times New Roman" w:hAnsi="Times New Roman" w:cs="Times New Roman"/>
                <w:i/>
                <w:sz w:val="26"/>
                <w:szCs w:val="26"/>
                <w:u w:val="single"/>
              </w:rPr>
              <w:t>Dự án ở khu vực A</w:t>
            </w:r>
          </w:p>
          <w:p w:rsidR="00000C29" w:rsidRPr="00000C29" w:rsidRDefault="00000C29" w:rsidP="007A4774">
            <w:pPr>
              <w:pStyle w:val="TableParagraph"/>
              <w:spacing w:before="125"/>
              <w:rPr>
                <w:rFonts w:ascii="Times New Roman" w:hAnsi="Times New Roman" w:cs="Times New Roman"/>
                <w:sz w:val="26"/>
                <w:szCs w:val="26"/>
              </w:rPr>
            </w:pPr>
            <w:r w:rsidRPr="00000C29">
              <w:rPr>
                <w:rFonts w:ascii="Times New Roman" w:hAnsi="Times New Roman" w:cs="Times New Roman"/>
                <w:sz w:val="26"/>
                <w:szCs w:val="26"/>
              </w:rPr>
              <w:t>- Dòng thu</w:t>
            </w:r>
          </w:p>
          <w:p w:rsidR="00000C29" w:rsidRPr="00000C29" w:rsidRDefault="00000C29" w:rsidP="007A4774">
            <w:pPr>
              <w:pStyle w:val="TableParagraph"/>
              <w:spacing w:before="128" w:line="288" w:lineRule="auto"/>
              <w:ind w:left="529" w:hanging="285"/>
              <w:rPr>
                <w:rFonts w:ascii="Times New Roman" w:hAnsi="Times New Roman" w:cs="Times New Roman"/>
                <w:sz w:val="26"/>
                <w:szCs w:val="26"/>
              </w:rPr>
            </w:pPr>
            <w:r w:rsidRPr="00000C29">
              <w:rPr>
                <w:rFonts w:ascii="Times New Roman" w:hAnsi="Times New Roman" w:cs="Times New Roman"/>
                <w:sz w:val="26"/>
                <w:szCs w:val="26"/>
              </w:rPr>
              <w:t>+ Thu từ khấu hao và lợi nhuận sau thuế</w:t>
            </w:r>
          </w:p>
          <w:p w:rsidR="00000C29" w:rsidRPr="00000C29" w:rsidRDefault="00000C29" w:rsidP="007A4774">
            <w:pPr>
              <w:pStyle w:val="TableParagraph"/>
              <w:spacing w:before="77"/>
              <w:ind w:left="244"/>
              <w:rPr>
                <w:rFonts w:ascii="Times New Roman" w:hAnsi="Times New Roman" w:cs="Times New Roman"/>
                <w:sz w:val="26"/>
                <w:szCs w:val="26"/>
              </w:rPr>
            </w:pPr>
            <w:r w:rsidRPr="00000C29">
              <w:rPr>
                <w:rFonts w:ascii="Times New Roman" w:hAnsi="Times New Roman" w:cs="Times New Roman"/>
                <w:sz w:val="26"/>
                <w:szCs w:val="26"/>
              </w:rPr>
              <w:t>+ Thu hồi vốn lưu động</w:t>
            </w:r>
          </w:p>
          <w:p w:rsidR="00000C29" w:rsidRPr="00000C29" w:rsidRDefault="00000C29" w:rsidP="007A4774">
            <w:pPr>
              <w:pStyle w:val="TableParagraph"/>
              <w:spacing w:before="128"/>
              <w:ind w:left="244"/>
              <w:rPr>
                <w:rFonts w:ascii="Times New Roman" w:hAnsi="Times New Roman" w:cs="Times New Roman"/>
                <w:sz w:val="26"/>
                <w:szCs w:val="26"/>
              </w:rPr>
            </w:pPr>
            <w:r w:rsidRPr="00000C29">
              <w:rPr>
                <w:rFonts w:ascii="Times New Roman" w:hAnsi="Times New Roman" w:cs="Times New Roman"/>
                <w:sz w:val="26"/>
                <w:szCs w:val="26"/>
              </w:rPr>
              <w:t>+ Thu thanh lý tài sản</w:t>
            </w:r>
          </w:p>
        </w:tc>
        <w:tc>
          <w:tcPr>
            <w:tcW w:w="1134" w:type="dxa"/>
            <w:tcBorders>
              <w:top w:val="single" w:sz="6" w:space="0" w:color="000000"/>
              <w:left w:val="single" w:sz="6" w:space="0" w:color="000000"/>
              <w:bottom w:val="nil"/>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nil"/>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nil"/>
              <w:right w:val="single" w:sz="6" w:space="0" w:color="000000"/>
            </w:tcBorders>
          </w:tcPr>
          <w:p w:rsidR="00000C29" w:rsidRPr="00000C29" w:rsidRDefault="00000C29" w:rsidP="007A4774">
            <w:pPr>
              <w:pStyle w:val="TableParagraph"/>
              <w:ind w:left="100" w:right="79"/>
              <w:rPr>
                <w:rFonts w:ascii="Times New Roman" w:hAnsi="Times New Roman" w:cs="Times New Roman"/>
                <w:sz w:val="26"/>
                <w:szCs w:val="26"/>
              </w:rPr>
            </w:pPr>
            <w:r w:rsidRPr="00000C29">
              <w:rPr>
                <w:rFonts w:ascii="Times New Roman" w:hAnsi="Times New Roman" w:cs="Times New Roman"/>
                <w:sz w:val="26"/>
                <w:szCs w:val="26"/>
              </w:rPr>
              <w:t>t=16%</w:t>
            </w:r>
          </w:p>
        </w:tc>
        <w:tc>
          <w:tcPr>
            <w:tcW w:w="1381" w:type="dxa"/>
            <w:tcBorders>
              <w:top w:val="single" w:sz="6" w:space="0" w:color="000000"/>
              <w:left w:val="single" w:sz="6" w:space="0" w:color="000000"/>
              <w:bottom w:val="nil"/>
            </w:tcBorders>
          </w:tcPr>
          <w:p w:rsidR="00000C29" w:rsidRPr="00000C29" w:rsidRDefault="00000C29" w:rsidP="007A4774">
            <w:pPr>
              <w:rPr>
                <w:sz w:val="26"/>
                <w:szCs w:val="26"/>
              </w:rPr>
            </w:pPr>
          </w:p>
        </w:tc>
      </w:tr>
      <w:tr w:rsidR="00000C29" w:rsidRPr="00000C29" w:rsidTr="007A4774">
        <w:trPr>
          <w:trHeight w:hRule="exact" w:val="747"/>
        </w:trPr>
        <w:tc>
          <w:tcPr>
            <w:tcW w:w="3652" w:type="dxa"/>
            <w:vMerge/>
            <w:tcBorders>
              <w:right w:val="single" w:sz="6" w:space="0" w:color="000000"/>
            </w:tcBorders>
          </w:tcPr>
          <w:p w:rsidR="00000C29" w:rsidRPr="00000C29" w:rsidRDefault="00000C29" w:rsidP="007A4774">
            <w:pPr>
              <w:rPr>
                <w:sz w:val="26"/>
                <w:szCs w:val="26"/>
              </w:rPr>
            </w:pP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1-5</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110</w:t>
            </w:r>
          </w:p>
        </w:tc>
        <w:tc>
          <w:tcPr>
            <w:tcW w:w="1702" w:type="dxa"/>
            <w:tcBorders>
              <w:top w:val="nil"/>
              <w:left w:val="single" w:sz="6" w:space="0" w:color="000000"/>
              <w:bottom w:val="nil"/>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ind w:left="100" w:right="79"/>
              <w:rPr>
                <w:rFonts w:ascii="Times New Roman" w:hAnsi="Times New Roman" w:cs="Times New Roman"/>
                <w:sz w:val="26"/>
                <w:szCs w:val="26"/>
              </w:rPr>
            </w:pPr>
            <w:r w:rsidRPr="00000C29">
              <w:rPr>
                <w:rFonts w:ascii="Times New Roman" w:hAnsi="Times New Roman" w:cs="Times New Roman"/>
                <w:sz w:val="26"/>
                <w:szCs w:val="26"/>
              </w:rPr>
              <w:t>3,274</w:t>
            </w:r>
          </w:p>
        </w:tc>
        <w:tc>
          <w:tcPr>
            <w:tcW w:w="1381" w:type="dxa"/>
            <w:tcBorders>
              <w:top w:val="nil"/>
              <w:left w:val="single" w:sz="6" w:space="0" w:color="000000"/>
              <w:bottom w:val="nil"/>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ind w:left="100" w:right="10"/>
              <w:rPr>
                <w:rFonts w:ascii="Times New Roman" w:hAnsi="Times New Roman" w:cs="Times New Roman"/>
                <w:sz w:val="26"/>
                <w:szCs w:val="26"/>
              </w:rPr>
            </w:pPr>
            <w:r w:rsidRPr="00000C29">
              <w:rPr>
                <w:rFonts w:ascii="Times New Roman" w:hAnsi="Times New Roman" w:cs="Times New Roman"/>
                <w:sz w:val="26"/>
                <w:szCs w:val="26"/>
              </w:rPr>
              <w:t>360,14</w:t>
            </w:r>
          </w:p>
        </w:tc>
      </w:tr>
      <w:tr w:rsidR="00000C29" w:rsidRPr="00000C29" w:rsidTr="007A4774">
        <w:trPr>
          <w:trHeight w:hRule="exact" w:val="551"/>
        </w:trPr>
        <w:tc>
          <w:tcPr>
            <w:tcW w:w="3652" w:type="dxa"/>
            <w:vMerge/>
            <w:tcBorders>
              <w:right w:val="single" w:sz="6" w:space="0" w:color="000000"/>
            </w:tcBorders>
          </w:tcPr>
          <w:p w:rsidR="00000C29" w:rsidRPr="00000C29" w:rsidRDefault="00000C29" w:rsidP="007A4774">
            <w:pPr>
              <w:rPr>
                <w:sz w:val="26"/>
                <w:szCs w:val="26"/>
              </w:rPr>
            </w:pP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3"/>
              <w:rPr>
                <w:rFonts w:ascii="Times New Roman" w:hAnsi="Times New Roman" w:cs="Times New Roman"/>
                <w:sz w:val="26"/>
                <w:szCs w:val="26"/>
              </w:rPr>
            </w:pPr>
          </w:p>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5</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3"/>
              <w:rPr>
                <w:rFonts w:ascii="Times New Roman" w:hAnsi="Times New Roman" w:cs="Times New Roman"/>
                <w:sz w:val="26"/>
                <w:szCs w:val="26"/>
              </w:rPr>
            </w:pPr>
          </w:p>
          <w:p w:rsidR="00000C29" w:rsidRPr="00000C29" w:rsidRDefault="00000C29" w:rsidP="007A4774">
            <w:pPr>
              <w:pStyle w:val="TableParagraph"/>
              <w:ind w:left="100"/>
              <w:rPr>
                <w:rFonts w:ascii="Times New Roman" w:hAnsi="Times New Roman" w:cs="Times New Roman"/>
                <w:sz w:val="26"/>
                <w:szCs w:val="26"/>
              </w:rPr>
            </w:pPr>
            <w:r w:rsidRPr="00000C29">
              <w:rPr>
                <w:rFonts w:ascii="Times New Roman" w:hAnsi="Times New Roman" w:cs="Times New Roman"/>
                <w:sz w:val="26"/>
                <w:szCs w:val="26"/>
              </w:rPr>
              <w:t>50</w:t>
            </w:r>
          </w:p>
        </w:tc>
        <w:tc>
          <w:tcPr>
            <w:tcW w:w="1702" w:type="dxa"/>
            <w:tcBorders>
              <w:top w:val="nil"/>
              <w:left w:val="single" w:sz="6" w:space="0" w:color="000000"/>
              <w:bottom w:val="nil"/>
              <w:right w:val="single" w:sz="6" w:space="0" w:color="000000"/>
            </w:tcBorders>
          </w:tcPr>
          <w:p w:rsidR="00000C29" w:rsidRPr="00000C29" w:rsidRDefault="00000C29" w:rsidP="007A4774">
            <w:pPr>
              <w:pStyle w:val="TableParagraph"/>
              <w:spacing w:before="3"/>
              <w:rPr>
                <w:rFonts w:ascii="Times New Roman" w:hAnsi="Times New Roman" w:cs="Times New Roman"/>
                <w:sz w:val="26"/>
                <w:szCs w:val="26"/>
              </w:rPr>
            </w:pPr>
          </w:p>
          <w:p w:rsidR="00000C29" w:rsidRPr="00000C29" w:rsidRDefault="00000C29" w:rsidP="007A4774">
            <w:pPr>
              <w:pStyle w:val="TableParagraph"/>
              <w:ind w:left="101" w:right="79"/>
              <w:rPr>
                <w:rFonts w:ascii="Times New Roman" w:hAnsi="Times New Roman" w:cs="Times New Roman"/>
                <w:sz w:val="26"/>
                <w:szCs w:val="26"/>
              </w:rPr>
            </w:pPr>
            <w:r w:rsidRPr="00000C29">
              <w:rPr>
                <w:rFonts w:ascii="Times New Roman" w:hAnsi="Times New Roman" w:cs="Times New Roman"/>
                <w:sz w:val="26"/>
                <w:szCs w:val="26"/>
              </w:rPr>
              <w:t>0,476</w:t>
            </w:r>
          </w:p>
        </w:tc>
        <w:tc>
          <w:tcPr>
            <w:tcW w:w="1381" w:type="dxa"/>
            <w:tcBorders>
              <w:top w:val="nil"/>
              <w:left w:val="single" w:sz="6" w:space="0" w:color="000000"/>
              <w:bottom w:val="nil"/>
            </w:tcBorders>
          </w:tcPr>
          <w:p w:rsidR="00000C29" w:rsidRPr="00000C29" w:rsidRDefault="00000C29" w:rsidP="007A4774">
            <w:pPr>
              <w:pStyle w:val="TableParagraph"/>
              <w:spacing w:before="3"/>
              <w:rPr>
                <w:rFonts w:ascii="Times New Roman" w:hAnsi="Times New Roman" w:cs="Times New Roman"/>
                <w:sz w:val="26"/>
                <w:szCs w:val="26"/>
              </w:rPr>
            </w:pPr>
          </w:p>
          <w:p w:rsidR="00000C29" w:rsidRPr="00000C29" w:rsidRDefault="00000C29" w:rsidP="007A4774">
            <w:pPr>
              <w:pStyle w:val="TableParagraph"/>
              <w:ind w:left="100" w:right="10"/>
              <w:rPr>
                <w:rFonts w:ascii="Times New Roman" w:hAnsi="Times New Roman" w:cs="Times New Roman"/>
                <w:sz w:val="26"/>
                <w:szCs w:val="26"/>
              </w:rPr>
            </w:pPr>
            <w:r w:rsidRPr="00000C29">
              <w:rPr>
                <w:rFonts w:ascii="Times New Roman" w:hAnsi="Times New Roman" w:cs="Times New Roman"/>
                <w:sz w:val="26"/>
                <w:szCs w:val="26"/>
              </w:rPr>
              <w:t>23,80</w:t>
            </w:r>
          </w:p>
        </w:tc>
      </w:tr>
      <w:tr w:rsidR="00000C29" w:rsidRPr="00000C29" w:rsidTr="007A4774">
        <w:trPr>
          <w:trHeight w:hRule="exact" w:val="438"/>
        </w:trPr>
        <w:tc>
          <w:tcPr>
            <w:tcW w:w="3652" w:type="dxa"/>
            <w:vMerge/>
            <w:tcBorders>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5</w:t>
            </w:r>
          </w:p>
        </w:tc>
        <w:tc>
          <w:tcPr>
            <w:tcW w:w="1134"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40</w:t>
            </w:r>
          </w:p>
        </w:tc>
        <w:tc>
          <w:tcPr>
            <w:tcW w:w="1702"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0,476</w:t>
            </w:r>
          </w:p>
        </w:tc>
        <w:tc>
          <w:tcPr>
            <w:tcW w:w="1381" w:type="dxa"/>
            <w:tcBorders>
              <w:top w:val="nil"/>
              <w:left w:val="single" w:sz="6" w:space="0" w:color="000000"/>
              <w:bottom w:val="single" w:sz="6" w:space="0" w:color="000000"/>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19,04</w:t>
            </w:r>
          </w:p>
        </w:tc>
      </w:tr>
      <w:tr w:rsidR="00000C29" w:rsidRPr="00000C29" w:rsidTr="007A4774">
        <w:trPr>
          <w:trHeight w:hRule="exact" w:val="392"/>
        </w:trPr>
        <w:tc>
          <w:tcPr>
            <w:tcW w:w="3652" w:type="dxa"/>
            <w:tcBorders>
              <w:top w:val="single" w:sz="6" w:space="0" w:color="000000"/>
              <w:bottom w:val="single" w:sz="6"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Cộng</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6" w:space="0" w:color="000000"/>
            </w:tcBorders>
          </w:tcPr>
          <w:p w:rsidR="00000C29" w:rsidRPr="00000C29" w:rsidRDefault="00000C29" w:rsidP="007A4774">
            <w:pPr>
              <w:pStyle w:val="TableParagraph"/>
              <w:spacing w:before="1"/>
              <w:ind w:left="100" w:right="10"/>
              <w:rPr>
                <w:rFonts w:ascii="Times New Roman" w:hAnsi="Times New Roman" w:cs="Times New Roman"/>
                <w:b/>
                <w:sz w:val="26"/>
                <w:szCs w:val="26"/>
              </w:rPr>
            </w:pPr>
            <w:r w:rsidRPr="00000C29">
              <w:rPr>
                <w:rFonts w:ascii="Times New Roman" w:hAnsi="Times New Roman" w:cs="Times New Roman"/>
                <w:b/>
                <w:sz w:val="26"/>
                <w:szCs w:val="26"/>
              </w:rPr>
              <w:t>402,98</w:t>
            </w:r>
          </w:p>
        </w:tc>
      </w:tr>
      <w:tr w:rsidR="00000C29" w:rsidRPr="00000C29" w:rsidTr="007A4774">
        <w:trPr>
          <w:trHeight w:hRule="exact" w:val="347"/>
        </w:trPr>
        <w:tc>
          <w:tcPr>
            <w:tcW w:w="3652" w:type="dxa"/>
            <w:tcBorders>
              <w:top w:val="single" w:sz="6" w:space="0" w:color="000000"/>
              <w:bottom w:val="nil"/>
              <w:right w:val="single" w:sz="6" w:space="0" w:color="000000"/>
            </w:tcBorders>
          </w:tcPr>
          <w:p w:rsidR="00000C29" w:rsidRPr="00000C29" w:rsidRDefault="00000C29" w:rsidP="007A4774">
            <w:pPr>
              <w:pStyle w:val="TableParagraph"/>
              <w:rPr>
                <w:rFonts w:ascii="Times New Roman" w:hAnsi="Times New Roman" w:cs="Times New Roman"/>
                <w:sz w:val="26"/>
                <w:szCs w:val="26"/>
              </w:rPr>
            </w:pPr>
            <w:r w:rsidRPr="00000C29">
              <w:rPr>
                <w:rFonts w:ascii="Times New Roman" w:hAnsi="Times New Roman" w:cs="Times New Roman"/>
                <w:sz w:val="26"/>
                <w:szCs w:val="26"/>
              </w:rPr>
              <w:t>- Dòng chi</w:t>
            </w:r>
          </w:p>
        </w:tc>
        <w:tc>
          <w:tcPr>
            <w:tcW w:w="1134" w:type="dxa"/>
            <w:tcBorders>
              <w:top w:val="single" w:sz="6" w:space="0" w:color="000000"/>
              <w:left w:val="single" w:sz="6" w:space="0" w:color="000000"/>
              <w:bottom w:val="nil"/>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nil"/>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nil"/>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nil"/>
            </w:tcBorders>
          </w:tcPr>
          <w:p w:rsidR="00000C29" w:rsidRPr="00000C29" w:rsidRDefault="00000C29" w:rsidP="007A4774">
            <w:pPr>
              <w:rPr>
                <w:sz w:val="26"/>
                <w:szCs w:val="26"/>
              </w:rPr>
            </w:pPr>
          </w:p>
        </w:tc>
      </w:tr>
      <w:tr w:rsidR="00000C29" w:rsidRPr="00000C29" w:rsidTr="007A4774">
        <w:trPr>
          <w:trHeight w:hRule="exact" w:val="392"/>
        </w:trPr>
        <w:tc>
          <w:tcPr>
            <w:tcW w:w="3652" w:type="dxa"/>
            <w:tcBorders>
              <w:top w:val="nil"/>
              <w:bottom w:val="nil"/>
              <w:right w:val="single" w:sz="6" w:space="0" w:color="000000"/>
            </w:tcBorders>
          </w:tcPr>
          <w:p w:rsidR="00000C29" w:rsidRPr="00000C29" w:rsidRDefault="00000C29" w:rsidP="007A4774">
            <w:pPr>
              <w:pStyle w:val="TableParagraph"/>
              <w:spacing w:before="51"/>
              <w:ind w:left="244"/>
              <w:rPr>
                <w:rFonts w:ascii="Times New Roman" w:hAnsi="Times New Roman" w:cs="Times New Roman"/>
                <w:sz w:val="26"/>
                <w:szCs w:val="26"/>
              </w:rPr>
            </w:pPr>
            <w:r w:rsidRPr="00000C29">
              <w:rPr>
                <w:rFonts w:ascii="Times New Roman" w:hAnsi="Times New Roman" w:cs="Times New Roman"/>
                <w:sz w:val="26"/>
                <w:szCs w:val="26"/>
              </w:rPr>
              <w:t>+ Vốn đầu tư ban đầu</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0</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350</w:t>
            </w:r>
          </w:p>
        </w:tc>
        <w:tc>
          <w:tcPr>
            <w:tcW w:w="1702"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1" w:right="79"/>
              <w:rPr>
                <w:rFonts w:ascii="Times New Roman" w:hAnsi="Times New Roman" w:cs="Times New Roman"/>
                <w:sz w:val="26"/>
                <w:szCs w:val="26"/>
              </w:rPr>
            </w:pPr>
            <w:r w:rsidRPr="00000C29">
              <w:rPr>
                <w:rFonts w:ascii="Times New Roman" w:hAnsi="Times New Roman" w:cs="Times New Roman"/>
                <w:sz w:val="26"/>
                <w:szCs w:val="26"/>
              </w:rPr>
              <w:t>1,0</w:t>
            </w:r>
          </w:p>
        </w:tc>
        <w:tc>
          <w:tcPr>
            <w:tcW w:w="1381" w:type="dxa"/>
            <w:tcBorders>
              <w:top w:val="nil"/>
              <w:left w:val="single" w:sz="6" w:space="0" w:color="000000"/>
              <w:bottom w:val="nil"/>
            </w:tcBorders>
          </w:tcPr>
          <w:p w:rsidR="00000C29" w:rsidRPr="00000C29" w:rsidRDefault="00000C29" w:rsidP="007A4774">
            <w:pPr>
              <w:pStyle w:val="TableParagraph"/>
              <w:spacing w:before="51"/>
              <w:ind w:left="101" w:right="10"/>
              <w:rPr>
                <w:rFonts w:ascii="Times New Roman" w:hAnsi="Times New Roman" w:cs="Times New Roman"/>
                <w:sz w:val="26"/>
                <w:szCs w:val="26"/>
              </w:rPr>
            </w:pPr>
            <w:r w:rsidRPr="00000C29">
              <w:rPr>
                <w:rFonts w:ascii="Times New Roman" w:hAnsi="Times New Roman" w:cs="Times New Roman"/>
                <w:sz w:val="26"/>
                <w:szCs w:val="26"/>
              </w:rPr>
              <w:t>350</w:t>
            </w:r>
          </w:p>
        </w:tc>
      </w:tr>
      <w:tr w:rsidR="00000C29" w:rsidRPr="00000C29" w:rsidTr="007A4774">
        <w:trPr>
          <w:trHeight w:hRule="exact" w:val="392"/>
        </w:trPr>
        <w:tc>
          <w:tcPr>
            <w:tcW w:w="3652" w:type="dxa"/>
            <w:tcBorders>
              <w:top w:val="nil"/>
              <w:bottom w:val="nil"/>
              <w:right w:val="single" w:sz="6" w:space="0" w:color="000000"/>
            </w:tcBorders>
          </w:tcPr>
          <w:p w:rsidR="00000C29" w:rsidRPr="00000C29" w:rsidRDefault="00000C29" w:rsidP="007A4774">
            <w:pPr>
              <w:pStyle w:val="TableParagraph"/>
              <w:spacing w:before="51"/>
              <w:ind w:left="244"/>
              <w:rPr>
                <w:rFonts w:ascii="Times New Roman" w:hAnsi="Times New Roman" w:cs="Times New Roman"/>
                <w:sz w:val="26"/>
                <w:szCs w:val="26"/>
              </w:rPr>
            </w:pPr>
            <w:r w:rsidRPr="00000C29">
              <w:rPr>
                <w:rFonts w:ascii="Times New Roman" w:hAnsi="Times New Roman" w:cs="Times New Roman"/>
                <w:sz w:val="26"/>
                <w:szCs w:val="26"/>
              </w:rPr>
              <w:t>+ Vốn lưu động</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0</w:t>
            </w:r>
          </w:p>
        </w:tc>
        <w:tc>
          <w:tcPr>
            <w:tcW w:w="1134"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50</w:t>
            </w:r>
          </w:p>
        </w:tc>
        <w:tc>
          <w:tcPr>
            <w:tcW w:w="1702" w:type="dxa"/>
            <w:tcBorders>
              <w:top w:val="nil"/>
              <w:left w:val="single" w:sz="6" w:space="0" w:color="000000"/>
              <w:bottom w:val="nil"/>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1,0</w:t>
            </w:r>
          </w:p>
        </w:tc>
        <w:tc>
          <w:tcPr>
            <w:tcW w:w="1381" w:type="dxa"/>
            <w:tcBorders>
              <w:top w:val="nil"/>
              <w:left w:val="single" w:sz="6" w:space="0" w:color="000000"/>
              <w:bottom w:val="nil"/>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50</w:t>
            </w:r>
          </w:p>
        </w:tc>
      </w:tr>
      <w:tr w:rsidR="00000C29" w:rsidRPr="00000C29" w:rsidTr="007A4774">
        <w:trPr>
          <w:trHeight w:hRule="exact" w:val="438"/>
        </w:trPr>
        <w:tc>
          <w:tcPr>
            <w:tcW w:w="3652" w:type="dxa"/>
            <w:tcBorders>
              <w:top w:val="nil"/>
              <w:bottom w:val="single" w:sz="6" w:space="0" w:color="000000"/>
              <w:right w:val="single" w:sz="6" w:space="0" w:color="000000"/>
            </w:tcBorders>
          </w:tcPr>
          <w:p w:rsidR="00000C29" w:rsidRPr="00000C29" w:rsidRDefault="00000C29" w:rsidP="007A4774">
            <w:pPr>
              <w:pStyle w:val="TableParagraph"/>
              <w:spacing w:before="51"/>
              <w:ind w:left="244"/>
              <w:rPr>
                <w:rFonts w:ascii="Times New Roman" w:hAnsi="Times New Roman" w:cs="Times New Roman"/>
                <w:sz w:val="26"/>
                <w:szCs w:val="26"/>
              </w:rPr>
            </w:pPr>
            <w:r w:rsidRPr="00000C29">
              <w:rPr>
                <w:rFonts w:ascii="Times New Roman" w:hAnsi="Times New Roman" w:cs="Times New Roman"/>
                <w:sz w:val="26"/>
                <w:szCs w:val="26"/>
              </w:rPr>
              <w:t>+ Chi sửa chữa đường</w:t>
            </w:r>
          </w:p>
        </w:tc>
        <w:tc>
          <w:tcPr>
            <w:tcW w:w="1134"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3</w:t>
            </w:r>
          </w:p>
        </w:tc>
        <w:tc>
          <w:tcPr>
            <w:tcW w:w="1134"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10</w:t>
            </w:r>
          </w:p>
        </w:tc>
        <w:tc>
          <w:tcPr>
            <w:tcW w:w="1702" w:type="dxa"/>
            <w:tcBorders>
              <w:top w:val="nil"/>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0,641</w:t>
            </w:r>
          </w:p>
        </w:tc>
        <w:tc>
          <w:tcPr>
            <w:tcW w:w="1381" w:type="dxa"/>
            <w:tcBorders>
              <w:top w:val="nil"/>
              <w:left w:val="single" w:sz="6" w:space="0" w:color="000000"/>
              <w:bottom w:val="single" w:sz="6" w:space="0" w:color="000000"/>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6,41</w:t>
            </w:r>
          </w:p>
        </w:tc>
      </w:tr>
      <w:tr w:rsidR="00000C29" w:rsidRPr="00000C29" w:rsidTr="007A4774">
        <w:trPr>
          <w:trHeight w:hRule="exact" w:val="392"/>
        </w:trPr>
        <w:tc>
          <w:tcPr>
            <w:tcW w:w="3652" w:type="dxa"/>
            <w:tcBorders>
              <w:top w:val="single" w:sz="6" w:space="0" w:color="000000"/>
              <w:bottom w:val="single" w:sz="6"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Cộng</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6" w:space="0" w:color="000000"/>
            </w:tcBorders>
          </w:tcPr>
          <w:p w:rsidR="00000C29" w:rsidRPr="00000C29" w:rsidRDefault="00000C29" w:rsidP="007A4774">
            <w:pPr>
              <w:pStyle w:val="TableParagraph"/>
              <w:spacing w:before="1"/>
              <w:ind w:left="100" w:right="10"/>
              <w:rPr>
                <w:rFonts w:ascii="Times New Roman" w:hAnsi="Times New Roman" w:cs="Times New Roman"/>
                <w:b/>
                <w:sz w:val="26"/>
                <w:szCs w:val="26"/>
              </w:rPr>
            </w:pPr>
            <w:r w:rsidRPr="00000C29">
              <w:rPr>
                <w:rFonts w:ascii="Times New Roman" w:hAnsi="Times New Roman" w:cs="Times New Roman"/>
                <w:b/>
                <w:sz w:val="26"/>
                <w:szCs w:val="26"/>
              </w:rPr>
              <w:t>406,41</w:t>
            </w:r>
          </w:p>
        </w:tc>
      </w:tr>
      <w:tr w:rsidR="00000C29" w:rsidRPr="00000C29" w:rsidTr="007A4774">
        <w:trPr>
          <w:trHeight w:hRule="exact" w:val="391"/>
        </w:trPr>
        <w:tc>
          <w:tcPr>
            <w:tcW w:w="3652" w:type="dxa"/>
            <w:tcBorders>
              <w:top w:val="single" w:sz="6" w:space="0" w:color="000000"/>
              <w:bottom w:val="single" w:sz="6"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 Giá trị hiện tại ròng</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6" w:space="0" w:color="000000"/>
            </w:tcBorders>
          </w:tcPr>
          <w:p w:rsidR="00000C29" w:rsidRPr="00000C29" w:rsidRDefault="00EB1F95" w:rsidP="00EB1F95">
            <w:pPr>
              <w:pStyle w:val="TableParagraph"/>
              <w:spacing w:before="1"/>
              <w:ind w:left="100" w:right="10"/>
              <w:rPr>
                <w:rFonts w:ascii="Times New Roman" w:hAnsi="Times New Roman" w:cs="Times New Roman"/>
                <w:b/>
                <w:sz w:val="26"/>
                <w:szCs w:val="26"/>
              </w:rPr>
            </w:pPr>
            <w:r>
              <w:rPr>
                <w:rFonts w:ascii="Times New Roman" w:hAnsi="Times New Roman" w:cs="Times New Roman"/>
                <w:b/>
                <w:sz w:val="26"/>
                <w:szCs w:val="26"/>
              </w:rPr>
              <w:t>(3,43)</w:t>
            </w:r>
          </w:p>
        </w:tc>
      </w:tr>
    </w:tbl>
    <w:p w:rsidR="00000C29" w:rsidRDefault="00000C29" w:rsidP="00E65933">
      <w:pPr>
        <w:pStyle w:val="BodyText"/>
        <w:spacing w:line="288" w:lineRule="auto"/>
        <w:jc w:val="both"/>
        <w:rPr>
          <w:sz w:val="26"/>
          <w:szCs w:val="26"/>
          <w:lang w:eastAsia="vi-VN"/>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52"/>
        <w:gridCol w:w="1134"/>
        <w:gridCol w:w="1134"/>
        <w:gridCol w:w="1702"/>
        <w:gridCol w:w="1381"/>
      </w:tblGrid>
      <w:tr w:rsidR="00000C29" w:rsidRPr="00000C29" w:rsidTr="007A4774">
        <w:trPr>
          <w:trHeight w:hRule="exact" w:val="535"/>
        </w:trPr>
        <w:tc>
          <w:tcPr>
            <w:tcW w:w="3652" w:type="dxa"/>
            <w:vMerge w:val="restart"/>
            <w:tcBorders>
              <w:left w:val="single" w:sz="4" w:space="0" w:color="000000"/>
              <w:right w:val="single" w:sz="6" w:space="0" w:color="000000"/>
            </w:tcBorders>
          </w:tcPr>
          <w:p w:rsidR="00000C29" w:rsidRPr="00000C29" w:rsidRDefault="00000C29" w:rsidP="007A4774">
            <w:pPr>
              <w:pStyle w:val="TableParagraph"/>
              <w:ind w:left="670"/>
              <w:rPr>
                <w:rFonts w:ascii="Times New Roman" w:hAnsi="Times New Roman" w:cs="Times New Roman"/>
                <w:i/>
                <w:sz w:val="26"/>
                <w:szCs w:val="26"/>
              </w:rPr>
            </w:pPr>
            <w:r w:rsidRPr="00000C29">
              <w:rPr>
                <w:rFonts w:ascii="Times New Roman" w:hAnsi="Times New Roman" w:cs="Times New Roman"/>
                <w:i/>
                <w:sz w:val="26"/>
                <w:szCs w:val="26"/>
                <w:u w:val="single"/>
              </w:rPr>
              <w:t>Dự án ở khu vực B</w:t>
            </w:r>
          </w:p>
          <w:p w:rsidR="00000C29" w:rsidRPr="00000C29" w:rsidRDefault="00000C29" w:rsidP="007A4774">
            <w:pPr>
              <w:pStyle w:val="TableParagraph"/>
              <w:spacing w:before="126"/>
              <w:rPr>
                <w:rFonts w:ascii="Times New Roman" w:hAnsi="Times New Roman" w:cs="Times New Roman"/>
                <w:sz w:val="26"/>
                <w:szCs w:val="26"/>
              </w:rPr>
            </w:pPr>
            <w:r w:rsidRPr="00000C29">
              <w:rPr>
                <w:rFonts w:ascii="Times New Roman" w:hAnsi="Times New Roman" w:cs="Times New Roman"/>
                <w:sz w:val="26"/>
                <w:szCs w:val="26"/>
              </w:rPr>
              <w:t>- Dòng thu:</w:t>
            </w:r>
          </w:p>
          <w:p w:rsidR="00000C29" w:rsidRPr="00000C29" w:rsidRDefault="00000C29" w:rsidP="007A4774">
            <w:pPr>
              <w:pStyle w:val="TableParagraph"/>
              <w:spacing w:before="128"/>
              <w:ind w:left="244"/>
              <w:rPr>
                <w:rFonts w:ascii="Times New Roman" w:hAnsi="Times New Roman" w:cs="Times New Roman"/>
                <w:sz w:val="26"/>
                <w:szCs w:val="26"/>
              </w:rPr>
            </w:pPr>
            <w:r w:rsidRPr="00000C29">
              <w:rPr>
                <w:rFonts w:ascii="Times New Roman" w:hAnsi="Times New Roman" w:cs="Times New Roman"/>
                <w:sz w:val="26"/>
                <w:szCs w:val="26"/>
              </w:rPr>
              <w:t>+ Thu từ khấu hao và lợi nhuận</w:t>
            </w:r>
          </w:p>
          <w:p w:rsidR="00000C29" w:rsidRPr="00000C29" w:rsidRDefault="00000C29" w:rsidP="007A4774">
            <w:pPr>
              <w:pStyle w:val="TableParagraph"/>
              <w:spacing w:before="128"/>
              <w:ind w:left="244"/>
              <w:rPr>
                <w:rFonts w:ascii="Times New Roman" w:hAnsi="Times New Roman" w:cs="Times New Roman"/>
                <w:sz w:val="26"/>
                <w:szCs w:val="26"/>
              </w:rPr>
            </w:pPr>
            <w:r w:rsidRPr="00000C29">
              <w:rPr>
                <w:rFonts w:ascii="Times New Roman" w:hAnsi="Times New Roman" w:cs="Times New Roman"/>
                <w:sz w:val="26"/>
                <w:szCs w:val="26"/>
              </w:rPr>
              <w:t>+ Thu hồi vốn lưu động</w:t>
            </w:r>
          </w:p>
        </w:tc>
        <w:tc>
          <w:tcPr>
            <w:tcW w:w="1134" w:type="dxa"/>
            <w:tcBorders>
              <w:left w:val="single" w:sz="6" w:space="0" w:color="000000"/>
              <w:right w:val="single" w:sz="6" w:space="0" w:color="000000"/>
            </w:tcBorders>
          </w:tcPr>
          <w:p w:rsidR="00000C29" w:rsidRPr="00000C29" w:rsidRDefault="00000C29" w:rsidP="007A4774">
            <w:pPr>
              <w:rPr>
                <w:sz w:val="26"/>
                <w:szCs w:val="26"/>
              </w:rPr>
            </w:pPr>
          </w:p>
        </w:tc>
        <w:tc>
          <w:tcPr>
            <w:tcW w:w="1134" w:type="dxa"/>
            <w:tcBorders>
              <w:left w:val="single" w:sz="6" w:space="0" w:color="000000"/>
              <w:right w:val="single" w:sz="6" w:space="0" w:color="000000"/>
            </w:tcBorders>
          </w:tcPr>
          <w:p w:rsidR="00000C29" w:rsidRPr="00000C29" w:rsidRDefault="00000C29" w:rsidP="007A4774">
            <w:pPr>
              <w:rPr>
                <w:sz w:val="26"/>
                <w:szCs w:val="26"/>
              </w:rPr>
            </w:pPr>
          </w:p>
        </w:tc>
        <w:tc>
          <w:tcPr>
            <w:tcW w:w="1702" w:type="dxa"/>
            <w:tcBorders>
              <w:left w:val="single" w:sz="6" w:space="0" w:color="000000"/>
              <w:right w:val="single" w:sz="6" w:space="0" w:color="000000"/>
            </w:tcBorders>
          </w:tcPr>
          <w:p w:rsidR="00000C29" w:rsidRPr="00000C29" w:rsidRDefault="00000C29" w:rsidP="007A4774">
            <w:pPr>
              <w:pStyle w:val="TableParagraph"/>
              <w:spacing w:line="262" w:lineRule="exact"/>
              <w:ind w:left="100" w:right="79"/>
              <w:rPr>
                <w:rFonts w:ascii="Times New Roman" w:hAnsi="Times New Roman" w:cs="Times New Roman"/>
                <w:sz w:val="26"/>
                <w:szCs w:val="26"/>
              </w:rPr>
            </w:pPr>
            <w:r w:rsidRPr="00000C29">
              <w:rPr>
                <w:rFonts w:ascii="Times New Roman" w:hAnsi="Times New Roman" w:cs="Times New Roman"/>
                <w:sz w:val="26"/>
                <w:szCs w:val="26"/>
              </w:rPr>
              <w:t>t= 10%</w:t>
            </w:r>
          </w:p>
        </w:tc>
        <w:tc>
          <w:tcPr>
            <w:tcW w:w="1381" w:type="dxa"/>
            <w:tcBorders>
              <w:left w:val="single" w:sz="6" w:space="0" w:color="000000"/>
              <w:right w:val="single" w:sz="4" w:space="0" w:color="000000"/>
            </w:tcBorders>
          </w:tcPr>
          <w:p w:rsidR="00000C29" w:rsidRPr="00000C29" w:rsidRDefault="00000C29" w:rsidP="007A4774">
            <w:pPr>
              <w:rPr>
                <w:sz w:val="26"/>
                <w:szCs w:val="26"/>
              </w:rPr>
            </w:pPr>
          </w:p>
        </w:tc>
      </w:tr>
      <w:tr w:rsidR="00000C29" w:rsidRPr="00000C29" w:rsidTr="007A4774">
        <w:trPr>
          <w:trHeight w:hRule="exact" w:val="589"/>
        </w:trPr>
        <w:tc>
          <w:tcPr>
            <w:tcW w:w="3652" w:type="dxa"/>
            <w:vMerge/>
            <w:tcBorders>
              <w:left w:val="single" w:sz="4" w:space="0" w:color="000000"/>
              <w:right w:val="single" w:sz="6" w:space="0" w:color="000000"/>
            </w:tcBorders>
          </w:tcPr>
          <w:p w:rsidR="00000C29" w:rsidRPr="00000C29" w:rsidRDefault="00000C29" w:rsidP="007A4774">
            <w:pPr>
              <w:rPr>
                <w:sz w:val="26"/>
                <w:szCs w:val="26"/>
              </w:rPr>
            </w:pPr>
          </w:p>
        </w:tc>
        <w:tc>
          <w:tcPr>
            <w:tcW w:w="1134" w:type="dxa"/>
            <w:tcBorders>
              <w:left w:val="single" w:sz="6" w:space="0" w:color="000000"/>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spacing w:before="1"/>
              <w:ind w:left="100"/>
              <w:rPr>
                <w:rFonts w:ascii="Times New Roman" w:hAnsi="Times New Roman" w:cs="Times New Roman"/>
                <w:sz w:val="26"/>
                <w:szCs w:val="26"/>
              </w:rPr>
            </w:pPr>
            <w:r w:rsidRPr="00000C29">
              <w:rPr>
                <w:rFonts w:ascii="Times New Roman" w:hAnsi="Times New Roman" w:cs="Times New Roman"/>
                <w:sz w:val="26"/>
                <w:szCs w:val="26"/>
              </w:rPr>
              <w:t>1-10</w:t>
            </w:r>
          </w:p>
        </w:tc>
        <w:tc>
          <w:tcPr>
            <w:tcW w:w="1134" w:type="dxa"/>
            <w:tcBorders>
              <w:left w:val="single" w:sz="6" w:space="0" w:color="000000"/>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spacing w:before="1"/>
              <w:ind w:left="100"/>
              <w:rPr>
                <w:rFonts w:ascii="Times New Roman" w:hAnsi="Times New Roman" w:cs="Times New Roman"/>
                <w:sz w:val="26"/>
                <w:szCs w:val="26"/>
              </w:rPr>
            </w:pPr>
            <w:r w:rsidRPr="00000C29">
              <w:rPr>
                <w:rFonts w:ascii="Times New Roman" w:hAnsi="Times New Roman" w:cs="Times New Roman"/>
                <w:sz w:val="26"/>
                <w:szCs w:val="26"/>
              </w:rPr>
              <w:t>100</w:t>
            </w:r>
          </w:p>
        </w:tc>
        <w:tc>
          <w:tcPr>
            <w:tcW w:w="1702" w:type="dxa"/>
            <w:tcBorders>
              <w:left w:val="single" w:sz="6" w:space="0" w:color="000000"/>
              <w:right w:val="single" w:sz="6"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spacing w:before="1"/>
              <w:ind w:left="100" w:right="79"/>
              <w:rPr>
                <w:rFonts w:ascii="Times New Roman" w:hAnsi="Times New Roman" w:cs="Times New Roman"/>
                <w:sz w:val="26"/>
                <w:szCs w:val="26"/>
              </w:rPr>
            </w:pPr>
            <w:r w:rsidRPr="00000C29">
              <w:rPr>
                <w:rFonts w:ascii="Times New Roman" w:hAnsi="Times New Roman" w:cs="Times New Roman"/>
                <w:sz w:val="26"/>
                <w:szCs w:val="26"/>
              </w:rPr>
              <w:t>6,145</w:t>
            </w:r>
          </w:p>
        </w:tc>
        <w:tc>
          <w:tcPr>
            <w:tcW w:w="1381" w:type="dxa"/>
            <w:tcBorders>
              <w:left w:val="single" w:sz="6" w:space="0" w:color="000000"/>
              <w:right w:val="single" w:sz="4" w:space="0" w:color="000000"/>
            </w:tcBorders>
          </w:tcPr>
          <w:p w:rsidR="00000C29" w:rsidRPr="00000C29" w:rsidRDefault="00000C29" w:rsidP="007A4774">
            <w:pPr>
              <w:pStyle w:val="TableParagraph"/>
              <w:spacing w:before="6"/>
              <w:rPr>
                <w:rFonts w:ascii="Times New Roman" w:hAnsi="Times New Roman" w:cs="Times New Roman"/>
                <w:sz w:val="26"/>
                <w:szCs w:val="26"/>
              </w:rPr>
            </w:pPr>
          </w:p>
          <w:p w:rsidR="00000C29" w:rsidRPr="00000C29" w:rsidRDefault="00000C29" w:rsidP="007A4774">
            <w:pPr>
              <w:pStyle w:val="TableParagraph"/>
              <w:spacing w:before="1"/>
              <w:ind w:left="100" w:right="10"/>
              <w:rPr>
                <w:rFonts w:ascii="Times New Roman" w:hAnsi="Times New Roman" w:cs="Times New Roman"/>
                <w:sz w:val="26"/>
                <w:szCs w:val="26"/>
              </w:rPr>
            </w:pPr>
            <w:r w:rsidRPr="00000C29">
              <w:rPr>
                <w:rFonts w:ascii="Times New Roman" w:hAnsi="Times New Roman" w:cs="Times New Roman"/>
                <w:sz w:val="26"/>
                <w:szCs w:val="26"/>
              </w:rPr>
              <w:t>614,5</w:t>
            </w:r>
          </w:p>
        </w:tc>
      </w:tr>
      <w:tr w:rsidR="00000C29" w:rsidRPr="00000C29" w:rsidTr="007A4774">
        <w:trPr>
          <w:trHeight w:hRule="exact" w:val="438"/>
        </w:trPr>
        <w:tc>
          <w:tcPr>
            <w:tcW w:w="3652" w:type="dxa"/>
            <w:vMerge/>
            <w:tcBorders>
              <w:left w:val="single" w:sz="4"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10</w:t>
            </w: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50</w:t>
            </w:r>
          </w:p>
        </w:tc>
        <w:tc>
          <w:tcPr>
            <w:tcW w:w="1702"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0,386</w:t>
            </w:r>
          </w:p>
        </w:tc>
        <w:tc>
          <w:tcPr>
            <w:tcW w:w="1381" w:type="dxa"/>
            <w:tcBorders>
              <w:left w:val="single" w:sz="6" w:space="0" w:color="000000"/>
              <w:bottom w:val="single" w:sz="6" w:space="0" w:color="000000"/>
              <w:right w:val="single" w:sz="4" w:space="0" w:color="000000"/>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19,3</w:t>
            </w:r>
          </w:p>
        </w:tc>
      </w:tr>
      <w:tr w:rsidR="00000C29" w:rsidRPr="00000C29" w:rsidTr="007A4774">
        <w:trPr>
          <w:trHeight w:hRule="exact" w:val="392"/>
        </w:trPr>
        <w:tc>
          <w:tcPr>
            <w:tcW w:w="3652" w:type="dxa"/>
            <w:tcBorders>
              <w:top w:val="single" w:sz="6" w:space="0" w:color="000000"/>
              <w:left w:val="single" w:sz="4" w:space="0" w:color="000000"/>
              <w:bottom w:val="single" w:sz="6"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Cộng</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6" w:space="0" w:color="000000"/>
              <w:right w:val="single" w:sz="4" w:space="0" w:color="000000"/>
            </w:tcBorders>
          </w:tcPr>
          <w:p w:rsidR="00000C29" w:rsidRPr="00000C29" w:rsidRDefault="00000C29" w:rsidP="007A4774">
            <w:pPr>
              <w:pStyle w:val="TableParagraph"/>
              <w:spacing w:before="1"/>
              <w:ind w:left="100" w:right="10"/>
              <w:rPr>
                <w:rFonts w:ascii="Times New Roman" w:hAnsi="Times New Roman" w:cs="Times New Roman"/>
                <w:b/>
                <w:sz w:val="26"/>
                <w:szCs w:val="26"/>
              </w:rPr>
            </w:pPr>
            <w:r w:rsidRPr="00000C29">
              <w:rPr>
                <w:rFonts w:ascii="Times New Roman" w:hAnsi="Times New Roman" w:cs="Times New Roman"/>
                <w:b/>
                <w:sz w:val="26"/>
                <w:szCs w:val="26"/>
              </w:rPr>
              <w:t>633,8</w:t>
            </w:r>
          </w:p>
        </w:tc>
      </w:tr>
      <w:tr w:rsidR="00000C29" w:rsidRPr="00000C29" w:rsidTr="007A4774">
        <w:trPr>
          <w:trHeight w:hRule="exact" w:val="347"/>
        </w:trPr>
        <w:tc>
          <w:tcPr>
            <w:tcW w:w="3652" w:type="dxa"/>
            <w:tcBorders>
              <w:top w:val="single" w:sz="6" w:space="0" w:color="000000"/>
              <w:left w:val="single" w:sz="4" w:space="0" w:color="000000"/>
              <w:right w:val="single" w:sz="6" w:space="0" w:color="000000"/>
            </w:tcBorders>
          </w:tcPr>
          <w:p w:rsidR="00000C29" w:rsidRPr="00000C29" w:rsidRDefault="00000C29" w:rsidP="007A4774">
            <w:pPr>
              <w:pStyle w:val="TableParagraph"/>
              <w:rPr>
                <w:rFonts w:ascii="Times New Roman" w:hAnsi="Times New Roman" w:cs="Times New Roman"/>
                <w:sz w:val="26"/>
                <w:szCs w:val="26"/>
              </w:rPr>
            </w:pPr>
            <w:r w:rsidRPr="00000C29">
              <w:rPr>
                <w:rFonts w:ascii="Times New Roman" w:hAnsi="Times New Roman" w:cs="Times New Roman"/>
                <w:sz w:val="26"/>
                <w:szCs w:val="26"/>
              </w:rPr>
              <w:t>- Dòng chi:</w:t>
            </w:r>
          </w:p>
        </w:tc>
        <w:tc>
          <w:tcPr>
            <w:tcW w:w="1134" w:type="dxa"/>
            <w:tcBorders>
              <w:top w:val="single" w:sz="6" w:space="0" w:color="000000"/>
              <w:left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right w:val="single" w:sz="4" w:space="0" w:color="000000"/>
            </w:tcBorders>
          </w:tcPr>
          <w:p w:rsidR="00000C29" w:rsidRPr="00000C29" w:rsidRDefault="00000C29" w:rsidP="007A4774">
            <w:pPr>
              <w:rPr>
                <w:sz w:val="26"/>
                <w:szCs w:val="26"/>
              </w:rPr>
            </w:pPr>
          </w:p>
        </w:tc>
      </w:tr>
      <w:tr w:rsidR="00000C29" w:rsidRPr="00000C29" w:rsidTr="007A4774">
        <w:trPr>
          <w:trHeight w:hRule="exact" w:val="392"/>
        </w:trPr>
        <w:tc>
          <w:tcPr>
            <w:tcW w:w="3652" w:type="dxa"/>
            <w:tcBorders>
              <w:left w:val="single" w:sz="4" w:space="0" w:color="000000"/>
              <w:right w:val="single" w:sz="6" w:space="0" w:color="000000"/>
            </w:tcBorders>
          </w:tcPr>
          <w:p w:rsidR="00000C29" w:rsidRPr="00000C29" w:rsidRDefault="00000C29" w:rsidP="007A4774">
            <w:pPr>
              <w:pStyle w:val="TableParagraph"/>
              <w:spacing w:before="51"/>
              <w:ind w:right="1393"/>
              <w:jc w:val="right"/>
              <w:rPr>
                <w:rFonts w:ascii="Times New Roman" w:hAnsi="Times New Roman" w:cs="Times New Roman"/>
                <w:sz w:val="26"/>
                <w:szCs w:val="26"/>
              </w:rPr>
            </w:pPr>
            <w:r w:rsidRPr="00000C29">
              <w:rPr>
                <w:rFonts w:ascii="Times New Roman" w:hAnsi="Times New Roman" w:cs="Times New Roman"/>
                <w:sz w:val="26"/>
                <w:szCs w:val="26"/>
              </w:rPr>
              <w:t>+ Vốn đầu tư ban đầu</w:t>
            </w:r>
          </w:p>
        </w:tc>
        <w:tc>
          <w:tcPr>
            <w:tcW w:w="1134" w:type="dxa"/>
            <w:tcBorders>
              <w:left w:val="single" w:sz="6" w:space="0" w:color="000000"/>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0</w:t>
            </w:r>
          </w:p>
        </w:tc>
        <w:tc>
          <w:tcPr>
            <w:tcW w:w="1134" w:type="dxa"/>
            <w:tcBorders>
              <w:left w:val="single" w:sz="6" w:space="0" w:color="000000"/>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500</w:t>
            </w:r>
          </w:p>
        </w:tc>
        <w:tc>
          <w:tcPr>
            <w:tcW w:w="1702" w:type="dxa"/>
            <w:tcBorders>
              <w:left w:val="single" w:sz="6" w:space="0" w:color="000000"/>
              <w:right w:val="single" w:sz="6" w:space="0" w:color="000000"/>
            </w:tcBorders>
          </w:tcPr>
          <w:p w:rsidR="00000C29" w:rsidRPr="00000C29" w:rsidRDefault="00000C29" w:rsidP="007A4774">
            <w:pPr>
              <w:pStyle w:val="TableParagraph"/>
              <w:spacing w:before="51"/>
              <w:ind w:left="101" w:right="79"/>
              <w:rPr>
                <w:rFonts w:ascii="Times New Roman" w:hAnsi="Times New Roman" w:cs="Times New Roman"/>
                <w:sz w:val="26"/>
                <w:szCs w:val="26"/>
              </w:rPr>
            </w:pPr>
            <w:r w:rsidRPr="00000C29">
              <w:rPr>
                <w:rFonts w:ascii="Times New Roman" w:hAnsi="Times New Roman" w:cs="Times New Roman"/>
                <w:sz w:val="26"/>
                <w:szCs w:val="26"/>
              </w:rPr>
              <w:t>1,0</w:t>
            </w:r>
          </w:p>
        </w:tc>
        <w:tc>
          <w:tcPr>
            <w:tcW w:w="1381" w:type="dxa"/>
            <w:tcBorders>
              <w:left w:val="single" w:sz="6" w:space="0" w:color="000000"/>
              <w:right w:val="single" w:sz="4" w:space="0" w:color="000000"/>
            </w:tcBorders>
          </w:tcPr>
          <w:p w:rsidR="00000C29" w:rsidRPr="00000C29" w:rsidRDefault="00000C29" w:rsidP="007A4774">
            <w:pPr>
              <w:pStyle w:val="TableParagraph"/>
              <w:spacing w:before="51"/>
              <w:ind w:left="101" w:right="10"/>
              <w:rPr>
                <w:rFonts w:ascii="Times New Roman" w:hAnsi="Times New Roman" w:cs="Times New Roman"/>
                <w:sz w:val="26"/>
                <w:szCs w:val="26"/>
              </w:rPr>
            </w:pPr>
            <w:r w:rsidRPr="00000C29">
              <w:rPr>
                <w:rFonts w:ascii="Times New Roman" w:hAnsi="Times New Roman" w:cs="Times New Roman"/>
                <w:sz w:val="26"/>
                <w:szCs w:val="26"/>
              </w:rPr>
              <w:t>500</w:t>
            </w:r>
          </w:p>
        </w:tc>
      </w:tr>
      <w:tr w:rsidR="00000C29" w:rsidRPr="00000C29" w:rsidTr="007A4774">
        <w:trPr>
          <w:trHeight w:hRule="exact" w:val="392"/>
        </w:trPr>
        <w:tc>
          <w:tcPr>
            <w:tcW w:w="3652" w:type="dxa"/>
            <w:tcBorders>
              <w:left w:val="single" w:sz="4" w:space="0" w:color="000000"/>
              <w:right w:val="single" w:sz="6" w:space="0" w:color="000000"/>
            </w:tcBorders>
          </w:tcPr>
          <w:p w:rsidR="00000C29" w:rsidRPr="00000C29" w:rsidRDefault="00000C29" w:rsidP="007A4774">
            <w:pPr>
              <w:pStyle w:val="TableParagraph"/>
              <w:spacing w:before="51"/>
              <w:ind w:left="244"/>
              <w:rPr>
                <w:rFonts w:ascii="Times New Roman" w:hAnsi="Times New Roman" w:cs="Times New Roman"/>
                <w:sz w:val="26"/>
                <w:szCs w:val="26"/>
              </w:rPr>
            </w:pPr>
            <w:r w:rsidRPr="00000C29">
              <w:rPr>
                <w:rFonts w:ascii="Times New Roman" w:hAnsi="Times New Roman" w:cs="Times New Roman"/>
                <w:sz w:val="26"/>
                <w:szCs w:val="26"/>
              </w:rPr>
              <w:t>+ Vốn lưu động</w:t>
            </w:r>
          </w:p>
        </w:tc>
        <w:tc>
          <w:tcPr>
            <w:tcW w:w="1134" w:type="dxa"/>
            <w:tcBorders>
              <w:left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0</w:t>
            </w:r>
          </w:p>
        </w:tc>
        <w:tc>
          <w:tcPr>
            <w:tcW w:w="1134" w:type="dxa"/>
            <w:tcBorders>
              <w:left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80</w:t>
            </w:r>
          </w:p>
        </w:tc>
        <w:tc>
          <w:tcPr>
            <w:tcW w:w="1702" w:type="dxa"/>
            <w:tcBorders>
              <w:left w:val="single" w:sz="6" w:space="0" w:color="000000"/>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1,0</w:t>
            </w:r>
          </w:p>
        </w:tc>
        <w:tc>
          <w:tcPr>
            <w:tcW w:w="1381" w:type="dxa"/>
            <w:tcBorders>
              <w:left w:val="single" w:sz="6" w:space="0" w:color="000000"/>
              <w:right w:val="single" w:sz="4" w:space="0" w:color="000000"/>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80</w:t>
            </w:r>
          </w:p>
        </w:tc>
      </w:tr>
      <w:tr w:rsidR="00000C29" w:rsidRPr="00000C29" w:rsidTr="00000C29">
        <w:trPr>
          <w:trHeight w:hRule="exact" w:val="905"/>
        </w:trPr>
        <w:tc>
          <w:tcPr>
            <w:tcW w:w="3652" w:type="dxa"/>
            <w:tcBorders>
              <w:left w:val="single" w:sz="4" w:space="0" w:color="000000"/>
              <w:bottom w:val="single" w:sz="6" w:space="0" w:color="000000"/>
              <w:right w:val="single" w:sz="6" w:space="0" w:color="000000"/>
            </w:tcBorders>
          </w:tcPr>
          <w:p w:rsidR="00000C29" w:rsidRPr="00000C29" w:rsidRDefault="00000C29" w:rsidP="007A4774">
            <w:pPr>
              <w:pStyle w:val="TableParagraph"/>
              <w:spacing w:before="51"/>
              <w:ind w:right="1347"/>
              <w:jc w:val="right"/>
              <w:rPr>
                <w:rFonts w:ascii="Times New Roman" w:hAnsi="Times New Roman" w:cs="Times New Roman"/>
                <w:sz w:val="26"/>
                <w:szCs w:val="26"/>
              </w:rPr>
            </w:pPr>
            <w:r w:rsidRPr="00000C29">
              <w:rPr>
                <w:rFonts w:ascii="Times New Roman" w:hAnsi="Times New Roman" w:cs="Times New Roman"/>
                <w:sz w:val="26"/>
                <w:szCs w:val="26"/>
              </w:rPr>
              <w:t>+ Chi sửa chữa đường</w:t>
            </w: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1"/>
              <w:rPr>
                <w:rFonts w:ascii="Times New Roman" w:hAnsi="Times New Roman" w:cs="Times New Roman"/>
                <w:sz w:val="26"/>
                <w:szCs w:val="26"/>
              </w:rPr>
            </w:pPr>
            <w:r w:rsidRPr="00000C29">
              <w:rPr>
                <w:rFonts w:ascii="Times New Roman" w:hAnsi="Times New Roman" w:cs="Times New Roman"/>
                <w:sz w:val="26"/>
                <w:szCs w:val="26"/>
              </w:rPr>
              <w:t>5</w:t>
            </w:r>
          </w:p>
        </w:tc>
        <w:tc>
          <w:tcPr>
            <w:tcW w:w="1134"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Pr>
                <w:rFonts w:ascii="Times New Roman" w:hAnsi="Times New Roman" w:cs="Times New Roman"/>
                <w:sz w:val="26"/>
                <w:szCs w:val="26"/>
              </w:rPr>
            </w:pPr>
            <w:r w:rsidRPr="00000C29">
              <w:rPr>
                <w:rFonts w:ascii="Times New Roman" w:hAnsi="Times New Roman" w:cs="Times New Roman"/>
                <w:sz w:val="26"/>
                <w:szCs w:val="26"/>
              </w:rPr>
              <w:t>50</w:t>
            </w:r>
          </w:p>
        </w:tc>
        <w:tc>
          <w:tcPr>
            <w:tcW w:w="1702" w:type="dxa"/>
            <w:tcBorders>
              <w:left w:val="single" w:sz="6" w:space="0" w:color="000000"/>
              <w:bottom w:val="single" w:sz="6" w:space="0" w:color="000000"/>
              <w:right w:val="single" w:sz="6" w:space="0" w:color="000000"/>
            </w:tcBorders>
          </w:tcPr>
          <w:p w:rsidR="00000C29" w:rsidRPr="00000C29" w:rsidRDefault="00000C29" w:rsidP="007A4774">
            <w:pPr>
              <w:pStyle w:val="TableParagraph"/>
              <w:spacing w:before="51"/>
              <w:ind w:left="100" w:right="79"/>
              <w:rPr>
                <w:rFonts w:ascii="Times New Roman" w:hAnsi="Times New Roman" w:cs="Times New Roman"/>
                <w:sz w:val="26"/>
                <w:szCs w:val="26"/>
              </w:rPr>
            </w:pPr>
            <w:r w:rsidRPr="00000C29">
              <w:rPr>
                <w:rFonts w:ascii="Times New Roman" w:hAnsi="Times New Roman" w:cs="Times New Roman"/>
                <w:sz w:val="26"/>
                <w:szCs w:val="26"/>
              </w:rPr>
              <w:t>0,621</w:t>
            </w:r>
          </w:p>
        </w:tc>
        <w:tc>
          <w:tcPr>
            <w:tcW w:w="1381" w:type="dxa"/>
            <w:tcBorders>
              <w:left w:val="single" w:sz="6" w:space="0" w:color="000000"/>
              <w:bottom w:val="single" w:sz="6" w:space="0" w:color="000000"/>
              <w:right w:val="single" w:sz="4" w:space="0" w:color="000000"/>
            </w:tcBorders>
          </w:tcPr>
          <w:p w:rsidR="00000C29" w:rsidRPr="00000C29" w:rsidRDefault="00000C29" w:rsidP="007A4774">
            <w:pPr>
              <w:pStyle w:val="TableParagraph"/>
              <w:spacing w:before="51"/>
              <w:ind w:left="100" w:right="10"/>
              <w:rPr>
                <w:rFonts w:ascii="Times New Roman" w:hAnsi="Times New Roman" w:cs="Times New Roman"/>
                <w:sz w:val="26"/>
                <w:szCs w:val="26"/>
              </w:rPr>
            </w:pPr>
            <w:r w:rsidRPr="00000C29">
              <w:rPr>
                <w:rFonts w:ascii="Times New Roman" w:hAnsi="Times New Roman" w:cs="Times New Roman"/>
                <w:sz w:val="26"/>
                <w:szCs w:val="26"/>
              </w:rPr>
              <w:t>31,05</w:t>
            </w:r>
          </w:p>
        </w:tc>
      </w:tr>
      <w:tr w:rsidR="00000C29" w:rsidRPr="00000C29" w:rsidTr="007A4774">
        <w:trPr>
          <w:trHeight w:hRule="exact" w:val="392"/>
        </w:trPr>
        <w:tc>
          <w:tcPr>
            <w:tcW w:w="3652" w:type="dxa"/>
            <w:tcBorders>
              <w:top w:val="single" w:sz="6" w:space="0" w:color="000000"/>
              <w:left w:val="single" w:sz="4" w:space="0" w:color="000000"/>
              <w:bottom w:val="single" w:sz="6"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Cộng</w:t>
            </w: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6"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6" w:space="0" w:color="000000"/>
              <w:right w:val="single" w:sz="4" w:space="0" w:color="000000"/>
            </w:tcBorders>
          </w:tcPr>
          <w:p w:rsidR="00000C29" w:rsidRPr="00000C29" w:rsidRDefault="00000C29" w:rsidP="007A4774">
            <w:pPr>
              <w:pStyle w:val="TableParagraph"/>
              <w:spacing w:before="1"/>
              <w:ind w:left="100" w:right="10"/>
              <w:rPr>
                <w:rFonts w:ascii="Times New Roman" w:hAnsi="Times New Roman" w:cs="Times New Roman"/>
                <w:b/>
                <w:sz w:val="26"/>
                <w:szCs w:val="26"/>
              </w:rPr>
            </w:pPr>
            <w:r w:rsidRPr="00000C29">
              <w:rPr>
                <w:rFonts w:ascii="Times New Roman" w:hAnsi="Times New Roman" w:cs="Times New Roman"/>
                <w:b/>
                <w:sz w:val="26"/>
                <w:szCs w:val="26"/>
              </w:rPr>
              <w:t>611,05</w:t>
            </w:r>
          </w:p>
        </w:tc>
      </w:tr>
      <w:tr w:rsidR="00000C29" w:rsidRPr="00000C29" w:rsidTr="007A4774">
        <w:trPr>
          <w:trHeight w:hRule="exact" w:val="390"/>
        </w:trPr>
        <w:tc>
          <w:tcPr>
            <w:tcW w:w="3652" w:type="dxa"/>
            <w:tcBorders>
              <w:top w:val="single" w:sz="6" w:space="0" w:color="000000"/>
              <w:left w:val="single" w:sz="4" w:space="0" w:color="000000"/>
              <w:bottom w:val="single" w:sz="4" w:space="0" w:color="000000"/>
              <w:right w:val="single" w:sz="6" w:space="0" w:color="000000"/>
            </w:tcBorders>
          </w:tcPr>
          <w:p w:rsidR="00000C29" w:rsidRPr="00000C29" w:rsidRDefault="00000C29" w:rsidP="007A4774">
            <w:pPr>
              <w:pStyle w:val="TableParagraph"/>
              <w:spacing w:before="1"/>
              <w:rPr>
                <w:rFonts w:ascii="Times New Roman" w:hAnsi="Times New Roman" w:cs="Times New Roman"/>
                <w:b/>
                <w:sz w:val="26"/>
                <w:szCs w:val="26"/>
              </w:rPr>
            </w:pPr>
            <w:r w:rsidRPr="00000C29">
              <w:rPr>
                <w:rFonts w:ascii="Times New Roman" w:hAnsi="Times New Roman" w:cs="Times New Roman"/>
                <w:b/>
                <w:sz w:val="26"/>
                <w:szCs w:val="26"/>
              </w:rPr>
              <w:t>- Giá trị hiện tại ròng</w:t>
            </w:r>
          </w:p>
        </w:tc>
        <w:tc>
          <w:tcPr>
            <w:tcW w:w="1134" w:type="dxa"/>
            <w:tcBorders>
              <w:top w:val="single" w:sz="6" w:space="0" w:color="000000"/>
              <w:left w:val="single" w:sz="6" w:space="0" w:color="000000"/>
              <w:bottom w:val="single" w:sz="4" w:space="0" w:color="000000"/>
              <w:right w:val="single" w:sz="6" w:space="0" w:color="000000"/>
            </w:tcBorders>
          </w:tcPr>
          <w:p w:rsidR="00000C29" w:rsidRPr="00000C29" w:rsidRDefault="00000C29" w:rsidP="007A4774">
            <w:pPr>
              <w:rPr>
                <w:sz w:val="26"/>
                <w:szCs w:val="26"/>
              </w:rPr>
            </w:pPr>
          </w:p>
        </w:tc>
        <w:tc>
          <w:tcPr>
            <w:tcW w:w="1134" w:type="dxa"/>
            <w:tcBorders>
              <w:top w:val="single" w:sz="6" w:space="0" w:color="000000"/>
              <w:left w:val="single" w:sz="6" w:space="0" w:color="000000"/>
              <w:bottom w:val="single" w:sz="4" w:space="0" w:color="000000"/>
              <w:right w:val="single" w:sz="6" w:space="0" w:color="000000"/>
            </w:tcBorders>
          </w:tcPr>
          <w:p w:rsidR="00000C29" w:rsidRPr="00000C29" w:rsidRDefault="00000C29" w:rsidP="007A4774">
            <w:pPr>
              <w:rPr>
                <w:sz w:val="26"/>
                <w:szCs w:val="26"/>
              </w:rPr>
            </w:pPr>
          </w:p>
        </w:tc>
        <w:tc>
          <w:tcPr>
            <w:tcW w:w="1702" w:type="dxa"/>
            <w:tcBorders>
              <w:top w:val="single" w:sz="6" w:space="0" w:color="000000"/>
              <w:left w:val="single" w:sz="6" w:space="0" w:color="000000"/>
              <w:bottom w:val="single" w:sz="4" w:space="0" w:color="000000"/>
              <w:right w:val="single" w:sz="6" w:space="0" w:color="000000"/>
            </w:tcBorders>
          </w:tcPr>
          <w:p w:rsidR="00000C29" w:rsidRPr="00000C29" w:rsidRDefault="00000C29" w:rsidP="007A4774">
            <w:pPr>
              <w:rPr>
                <w:sz w:val="26"/>
                <w:szCs w:val="26"/>
              </w:rPr>
            </w:pPr>
          </w:p>
        </w:tc>
        <w:tc>
          <w:tcPr>
            <w:tcW w:w="1381" w:type="dxa"/>
            <w:tcBorders>
              <w:top w:val="single" w:sz="6" w:space="0" w:color="000000"/>
              <w:left w:val="single" w:sz="6" w:space="0" w:color="000000"/>
              <w:bottom w:val="single" w:sz="4" w:space="0" w:color="000000"/>
              <w:right w:val="single" w:sz="4" w:space="0" w:color="000000"/>
            </w:tcBorders>
          </w:tcPr>
          <w:p w:rsidR="00000C29" w:rsidRPr="00000C29" w:rsidRDefault="00000C29" w:rsidP="007A4774">
            <w:pPr>
              <w:pStyle w:val="TableParagraph"/>
              <w:spacing w:before="1"/>
              <w:ind w:left="100" w:right="10"/>
              <w:rPr>
                <w:rFonts w:ascii="Times New Roman" w:hAnsi="Times New Roman" w:cs="Times New Roman"/>
                <w:b/>
                <w:sz w:val="26"/>
                <w:szCs w:val="26"/>
              </w:rPr>
            </w:pPr>
            <w:r w:rsidRPr="00000C29">
              <w:rPr>
                <w:rFonts w:ascii="Times New Roman" w:hAnsi="Times New Roman" w:cs="Times New Roman"/>
                <w:b/>
                <w:sz w:val="26"/>
                <w:szCs w:val="26"/>
              </w:rPr>
              <w:t>+22,75</w:t>
            </w:r>
          </w:p>
        </w:tc>
      </w:tr>
    </w:tbl>
    <w:p w:rsidR="00000C29" w:rsidRPr="00000C29" w:rsidRDefault="00000C29" w:rsidP="00E65933">
      <w:pPr>
        <w:pStyle w:val="BodyText"/>
        <w:spacing w:line="288" w:lineRule="auto"/>
        <w:jc w:val="both"/>
        <w:rPr>
          <w:sz w:val="26"/>
          <w:szCs w:val="26"/>
          <w:lang w:eastAsia="vi-VN"/>
        </w:rPr>
      </w:pPr>
    </w:p>
    <w:p w:rsidR="004674F5" w:rsidRPr="00EB1F95" w:rsidRDefault="00EB1F95" w:rsidP="00656E94">
      <w:pPr>
        <w:pStyle w:val="BodyText"/>
        <w:spacing w:before="120" w:after="120" w:line="312" w:lineRule="auto"/>
        <w:ind w:left="115"/>
        <w:jc w:val="both"/>
        <w:rPr>
          <w:sz w:val="26"/>
          <w:szCs w:val="26"/>
          <w:lang w:val="vi-VN" w:eastAsia="vi-VN"/>
        </w:rPr>
      </w:pPr>
      <w:r w:rsidRPr="00EB1F95">
        <w:rPr>
          <w:sz w:val="26"/>
          <w:szCs w:val="26"/>
          <w:lang w:val="vi-VN" w:eastAsia="vi-VN"/>
        </w:rPr>
        <w:t xml:space="preserve">Nếu tính đến yếu tố rủi ro của đầu tư (t ở khu vực A là 16% còn t ở khu vực B là 10%) thì dự án đầu tư khai thác ở khu vực A bị từ chốt, vì giá trị hiện tại ròng âm (-3,43); còn dự án đầu tư khai thác ở khu vực B được chấp nhận, vì giá </w:t>
      </w:r>
      <w:r>
        <w:rPr>
          <w:sz w:val="26"/>
          <w:szCs w:val="26"/>
          <w:lang w:val="vi-VN" w:eastAsia="vi-VN"/>
        </w:rPr>
        <w:t>trị hiện tại ròng là dương (</w:t>
      </w:r>
      <w:r w:rsidRPr="00EB1F95">
        <w:rPr>
          <w:sz w:val="26"/>
          <w:szCs w:val="26"/>
          <w:lang w:val="vi-VN" w:eastAsia="vi-VN"/>
        </w:rPr>
        <w:t>22,75).</w:t>
      </w:r>
    </w:p>
    <w:p w:rsidR="004A6954" w:rsidRPr="00E65933" w:rsidRDefault="004A6954" w:rsidP="00656E94">
      <w:pPr>
        <w:pStyle w:val="BodyText"/>
        <w:spacing w:before="120" w:after="120" w:line="312" w:lineRule="auto"/>
        <w:ind w:left="115"/>
        <w:jc w:val="both"/>
        <w:rPr>
          <w:b/>
          <w:sz w:val="26"/>
          <w:szCs w:val="26"/>
        </w:rPr>
      </w:pPr>
      <w:r w:rsidRPr="00E65933">
        <w:rPr>
          <w:b/>
          <w:sz w:val="26"/>
          <w:szCs w:val="26"/>
        </w:rPr>
        <w:t>3. Kết luận</w:t>
      </w:r>
    </w:p>
    <w:p w:rsidR="004A6954" w:rsidRPr="00857E92" w:rsidRDefault="00857E92" w:rsidP="00D27D5C">
      <w:pPr>
        <w:pStyle w:val="binhthuong"/>
        <w:spacing w:line="312" w:lineRule="auto"/>
        <w:rPr>
          <w:rFonts w:eastAsia="Times New Roman"/>
          <w:noProof w:val="0"/>
          <w:sz w:val="26"/>
          <w:szCs w:val="26"/>
          <w:lang w:val="vi-VN" w:eastAsia="vi-VN"/>
        </w:rPr>
      </w:pPr>
      <w:r w:rsidRPr="00857E92">
        <w:rPr>
          <w:rFonts w:eastAsia="Times New Roman"/>
          <w:noProof w:val="0"/>
          <w:sz w:val="26"/>
          <w:szCs w:val="26"/>
          <w:lang w:val="vi-VN" w:eastAsia="vi-VN"/>
        </w:rPr>
        <w:t xml:space="preserve">Các dự án đầu tư mang lại nguồn lợi nhuận lâu dài, đặc biệt là các dự án xây dựng. Thế nhưng, bất kỳ một dự án đầu tư nào cũng luôn đi kèm với rủi ro, dù lớn hay nhỏ. Việc </w:t>
      </w:r>
      <w:r w:rsidRPr="00857E92">
        <w:rPr>
          <w:rFonts w:eastAsia="Times New Roman"/>
          <w:noProof w:val="0"/>
          <w:sz w:val="26"/>
          <w:szCs w:val="26"/>
          <w:lang w:val="vi-VN" w:eastAsia="vi-VN"/>
        </w:rPr>
        <w:lastRenderedPageBreak/>
        <w:t>quản trị những rủi ro, và lên kế hoạch quản trị rủi ro kèm với kế hoạch dự án đầu tư là công việc quan trọng không thề thiếu. Bởi những rủi ro thì thường không lường trước được tác hại cho dự án và tài chính doanh nghiệp.</w:t>
      </w:r>
      <w:r w:rsidRPr="00857E92">
        <w:rPr>
          <w:rFonts w:eastAsia="Times New Roman"/>
          <w:noProof w:val="0"/>
          <w:sz w:val="26"/>
          <w:szCs w:val="26"/>
          <w:lang w:val="vi-VN" w:eastAsia="vi-VN"/>
        </w:rPr>
        <w:t xml:space="preserve"> </w:t>
      </w:r>
      <w:r w:rsidRPr="00857E92">
        <w:rPr>
          <w:rFonts w:eastAsia="Times New Roman"/>
          <w:noProof w:val="0"/>
          <w:sz w:val="26"/>
          <w:szCs w:val="26"/>
          <w:lang w:val="vi-VN" w:eastAsia="vi-VN"/>
        </w:rPr>
        <w:t> </w:t>
      </w:r>
      <w:r w:rsidRPr="00857E92">
        <w:rPr>
          <w:rFonts w:eastAsia="Times New Roman"/>
          <w:noProof w:val="0"/>
          <w:sz w:val="26"/>
          <w:szCs w:val="26"/>
          <w:lang w:val="vi-VN" w:eastAsia="vi-VN"/>
        </w:rPr>
        <w:t xml:space="preserve">Việc quản </w:t>
      </w:r>
      <w:r w:rsidRPr="00857E92">
        <w:rPr>
          <w:rFonts w:eastAsia="Times New Roman"/>
          <w:noProof w:val="0"/>
          <w:sz w:val="26"/>
          <w:szCs w:val="26"/>
          <w:lang w:val="vi-VN" w:eastAsia="vi-VN"/>
        </w:rPr>
        <w:t xml:space="preserve"> trị rủ</w:t>
      </w:r>
      <w:r w:rsidRPr="00857E92">
        <w:rPr>
          <w:rFonts w:eastAsia="Times New Roman"/>
          <w:noProof w:val="0"/>
          <w:sz w:val="26"/>
          <w:szCs w:val="26"/>
          <w:lang w:val="vi-VN" w:eastAsia="vi-VN"/>
        </w:rPr>
        <w:t>i ro cần</w:t>
      </w:r>
      <w:r w:rsidRPr="00857E92">
        <w:rPr>
          <w:rFonts w:eastAsia="Times New Roman"/>
          <w:noProof w:val="0"/>
          <w:sz w:val="26"/>
          <w:szCs w:val="26"/>
          <w:lang w:val="vi-VN" w:eastAsia="vi-VN"/>
        </w:rPr>
        <w:t xml:space="preserve"> được coi trọng đúng mức có thể sẽ khiến cho một dự án đầu tư </w:t>
      </w:r>
      <w:r w:rsidRPr="00857E92">
        <w:rPr>
          <w:rFonts w:eastAsia="Times New Roman"/>
          <w:noProof w:val="0"/>
          <w:sz w:val="26"/>
          <w:szCs w:val="26"/>
          <w:lang w:val="vi-VN" w:eastAsia="vi-VN"/>
        </w:rPr>
        <w:t xml:space="preserve">không </w:t>
      </w:r>
      <w:r w:rsidRPr="00857E92">
        <w:rPr>
          <w:rFonts w:eastAsia="Times New Roman"/>
          <w:noProof w:val="0"/>
          <w:sz w:val="26"/>
          <w:szCs w:val="26"/>
          <w:lang w:val="vi-VN" w:eastAsia="vi-VN"/>
        </w:rPr>
        <w:t>bị phá sản do không xử lý được rủi ro. </w:t>
      </w:r>
    </w:p>
    <w:p w:rsidR="00D741F2" w:rsidRPr="00E65933" w:rsidRDefault="00D741F2" w:rsidP="00656E94">
      <w:pPr>
        <w:pStyle w:val="BodyText"/>
        <w:spacing w:before="120" w:after="120" w:line="312" w:lineRule="auto"/>
        <w:ind w:left="115"/>
        <w:jc w:val="both"/>
        <w:rPr>
          <w:b/>
          <w:sz w:val="26"/>
          <w:szCs w:val="26"/>
        </w:rPr>
      </w:pPr>
      <w:r w:rsidRPr="00E65933">
        <w:rPr>
          <w:b/>
          <w:sz w:val="26"/>
          <w:szCs w:val="26"/>
        </w:rPr>
        <w:t>TÀI LIỆU THAM KHẢO:</w:t>
      </w:r>
    </w:p>
    <w:p w:rsidR="00C32E76" w:rsidRPr="00E65933" w:rsidRDefault="00C32E76" w:rsidP="00656E94">
      <w:pPr>
        <w:pStyle w:val="ListParagraph"/>
        <w:widowControl/>
        <w:spacing w:before="60" w:after="60" w:line="288" w:lineRule="auto"/>
        <w:ind w:left="115" w:firstLine="0"/>
        <w:contextualSpacing/>
        <w:jc w:val="both"/>
        <w:rPr>
          <w:sz w:val="26"/>
          <w:szCs w:val="26"/>
        </w:rPr>
      </w:pPr>
      <w:r w:rsidRPr="00E65933">
        <w:rPr>
          <w:sz w:val="26"/>
          <w:szCs w:val="26"/>
        </w:rPr>
        <w:t xml:space="preserve">     1.PGS.TS Trương Bá Thanh (2009), </w:t>
      </w:r>
      <w:r w:rsidRPr="00E65933">
        <w:rPr>
          <w:i/>
          <w:sz w:val="26"/>
          <w:szCs w:val="26"/>
        </w:rPr>
        <w:t>Giáo trình Kế toán quản trị</w:t>
      </w:r>
      <w:r w:rsidRPr="00E65933">
        <w:rPr>
          <w:sz w:val="26"/>
          <w:szCs w:val="26"/>
        </w:rPr>
        <w:t>, Nhà xuất bản giáo dục.</w:t>
      </w:r>
    </w:p>
    <w:p w:rsidR="009A420B" w:rsidRDefault="00C32E76" w:rsidP="00656E94">
      <w:pPr>
        <w:spacing w:before="60" w:after="60" w:line="288" w:lineRule="auto"/>
        <w:ind w:left="426"/>
        <w:contextualSpacing/>
        <w:jc w:val="both"/>
        <w:rPr>
          <w:sz w:val="26"/>
          <w:szCs w:val="26"/>
          <w:lang w:val="en-US"/>
        </w:rPr>
      </w:pPr>
      <w:r w:rsidRPr="00E65933">
        <w:rPr>
          <w:sz w:val="26"/>
          <w:szCs w:val="26"/>
          <w:lang w:val="en-US"/>
        </w:rPr>
        <w:t xml:space="preserve">2. </w:t>
      </w:r>
      <w:r w:rsidR="009A420B">
        <w:rPr>
          <w:sz w:val="26"/>
          <w:szCs w:val="26"/>
          <w:lang w:val="en-US"/>
        </w:rPr>
        <w:t xml:space="preserve">Đinh Xuân Dũng , Nguyễn Văn Tấn, Vũ Quang Kết(2007), </w:t>
      </w:r>
      <w:r w:rsidR="009A420B" w:rsidRPr="00E65933">
        <w:rPr>
          <w:i/>
          <w:sz w:val="26"/>
          <w:szCs w:val="26"/>
        </w:rPr>
        <w:t>Giáo trình Kế toán quản trị</w:t>
      </w:r>
    </w:p>
    <w:p w:rsidR="00C32E76" w:rsidRPr="00E65933" w:rsidRDefault="00C32E76" w:rsidP="00656E94">
      <w:pPr>
        <w:spacing w:before="60" w:after="60" w:line="288" w:lineRule="auto"/>
        <w:ind w:left="426"/>
        <w:contextualSpacing/>
        <w:jc w:val="both"/>
        <w:rPr>
          <w:sz w:val="26"/>
          <w:szCs w:val="26"/>
          <w:lang w:val="en-US"/>
        </w:rPr>
      </w:pPr>
      <w:r w:rsidRPr="00E65933">
        <w:rPr>
          <w:sz w:val="26"/>
          <w:szCs w:val="26"/>
        </w:rPr>
        <w:t xml:space="preserve">TS Phan Đức Dũng ( 2008), </w:t>
      </w:r>
      <w:r w:rsidRPr="00E65933">
        <w:rPr>
          <w:i/>
          <w:sz w:val="26"/>
          <w:szCs w:val="26"/>
        </w:rPr>
        <w:t xml:space="preserve">Kế toán Quản trị, </w:t>
      </w:r>
      <w:r w:rsidRPr="00E65933">
        <w:rPr>
          <w:sz w:val="26"/>
          <w:szCs w:val="26"/>
        </w:rPr>
        <w:t>NXB Thống Kê</w:t>
      </w:r>
    </w:p>
    <w:p w:rsidR="00554C9C" w:rsidRPr="00E65933" w:rsidRDefault="00554C9C" w:rsidP="00656E94">
      <w:pPr>
        <w:spacing w:before="60" w:after="60" w:line="288" w:lineRule="auto"/>
        <w:ind w:left="426"/>
        <w:contextualSpacing/>
        <w:jc w:val="both"/>
        <w:rPr>
          <w:sz w:val="26"/>
          <w:szCs w:val="26"/>
          <w:lang w:val="en-US"/>
        </w:rPr>
      </w:pPr>
      <w:r w:rsidRPr="00E65933">
        <w:rPr>
          <w:sz w:val="26"/>
          <w:szCs w:val="26"/>
          <w:lang w:val="en-US"/>
        </w:rPr>
        <w:t xml:space="preserve">3. Th.S Võ Ngàn Thơ(2009), </w:t>
      </w:r>
      <w:r w:rsidRPr="00E65933">
        <w:rPr>
          <w:i/>
          <w:sz w:val="26"/>
          <w:szCs w:val="26"/>
          <w:lang w:val="en-US"/>
        </w:rPr>
        <w:t>Bài giảng Quản trị dự án đầu tư</w:t>
      </w:r>
      <w:r w:rsidRPr="00E65933">
        <w:rPr>
          <w:sz w:val="26"/>
          <w:szCs w:val="26"/>
          <w:lang w:val="en-US"/>
        </w:rPr>
        <w:t xml:space="preserve"> </w:t>
      </w:r>
    </w:p>
    <w:p w:rsidR="00C32E76" w:rsidRPr="00E65933" w:rsidRDefault="00C32E76" w:rsidP="00656E94">
      <w:pPr>
        <w:tabs>
          <w:tab w:val="left" w:pos="707"/>
          <w:tab w:val="left" w:pos="8820"/>
        </w:tabs>
        <w:spacing w:line="360" w:lineRule="auto"/>
        <w:ind w:left="-72"/>
        <w:jc w:val="both"/>
        <w:rPr>
          <w:sz w:val="26"/>
          <w:szCs w:val="26"/>
          <w:lang w:val="fr-FR"/>
        </w:rPr>
      </w:pPr>
      <w:bookmarkStart w:id="0" w:name="_GoBack"/>
      <w:bookmarkEnd w:id="0"/>
    </w:p>
    <w:p w:rsidR="00C32E76" w:rsidRPr="00E65933" w:rsidRDefault="00C32E76" w:rsidP="00656E94">
      <w:pPr>
        <w:tabs>
          <w:tab w:val="left" w:pos="360"/>
        </w:tabs>
        <w:spacing w:line="312" w:lineRule="auto"/>
        <w:jc w:val="both"/>
        <w:rPr>
          <w:sz w:val="26"/>
          <w:szCs w:val="26"/>
          <w:lang w:val="nl-NL"/>
        </w:rPr>
      </w:pPr>
    </w:p>
    <w:sectPr w:rsidR="00C32E76" w:rsidRPr="00E65933" w:rsidSect="00EF087A">
      <w:footerReference w:type="default" r:id="rId9"/>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7A" w:rsidRDefault="00B7437A" w:rsidP="00795328">
      <w:r>
        <w:separator/>
      </w:r>
    </w:p>
  </w:endnote>
  <w:endnote w:type="continuationSeparator" w:id="0">
    <w:p w:rsidR="00B7437A" w:rsidRDefault="00B7437A"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9A420B">
          <w:rPr>
            <w:noProof/>
          </w:rPr>
          <w:t>2</w:t>
        </w:r>
        <w:r>
          <w:rPr>
            <w:noProof/>
          </w:rPr>
          <w:fldChar w:fldCharType="end"/>
        </w:r>
      </w:p>
    </w:sdtContent>
  </w:sdt>
  <w:p w:rsidR="00CB30E1" w:rsidRDefault="00CB30E1">
    <w:pPr>
      <w:rPr>
        <w:lang w:val="nl-NL"/>
      </w:rPr>
    </w:pPr>
  </w:p>
  <w:p w:rsidR="00756582" w:rsidRDefault="00756582"/>
  <w:p w:rsidR="00000000" w:rsidRDefault="00B7437A"/>
  <w:p w:rsidR="00000000" w:rsidRDefault="00B743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7A" w:rsidRDefault="00B7437A" w:rsidP="00795328">
      <w:r>
        <w:separator/>
      </w:r>
    </w:p>
  </w:footnote>
  <w:footnote w:type="continuationSeparator" w:id="0">
    <w:p w:rsidR="00B7437A" w:rsidRDefault="00B7437A"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2">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3">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4">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6">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8">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9">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0">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3">
    <w:nsid w:val="33FD2B58"/>
    <w:multiLevelType w:val="hybridMultilevel"/>
    <w:tmpl w:val="F40ACC8A"/>
    <w:lvl w:ilvl="0" w:tplc="5E78A3CC">
      <w:start w:val="1"/>
      <w:numFmt w:val="decimal"/>
      <w:lvlText w:val="%1."/>
      <w:lvlJc w:val="left"/>
      <w:pPr>
        <w:ind w:left="899" w:hanging="231"/>
        <w:jc w:val="right"/>
      </w:pPr>
      <w:rPr>
        <w:rFonts w:ascii="Times New Roman" w:eastAsia="Times New Roman" w:hAnsi="Times New Roman" w:cs="Times New Roman" w:hint="default"/>
        <w:i/>
        <w:w w:val="100"/>
        <w:sz w:val="23"/>
        <w:szCs w:val="23"/>
      </w:rPr>
    </w:lvl>
    <w:lvl w:ilvl="1" w:tplc="6E16DD9A">
      <w:numFmt w:val="bullet"/>
      <w:lvlText w:val="•"/>
      <w:lvlJc w:val="left"/>
      <w:pPr>
        <w:ind w:left="1756" w:hanging="231"/>
      </w:pPr>
      <w:rPr>
        <w:rFonts w:hint="default"/>
      </w:rPr>
    </w:lvl>
    <w:lvl w:ilvl="2" w:tplc="F33A9EB6">
      <w:numFmt w:val="bullet"/>
      <w:lvlText w:val="•"/>
      <w:lvlJc w:val="left"/>
      <w:pPr>
        <w:ind w:left="2612" w:hanging="231"/>
      </w:pPr>
      <w:rPr>
        <w:rFonts w:hint="default"/>
      </w:rPr>
    </w:lvl>
    <w:lvl w:ilvl="3" w:tplc="4A063CD6">
      <w:numFmt w:val="bullet"/>
      <w:lvlText w:val="•"/>
      <w:lvlJc w:val="left"/>
      <w:pPr>
        <w:ind w:left="3469" w:hanging="231"/>
      </w:pPr>
      <w:rPr>
        <w:rFonts w:hint="default"/>
      </w:rPr>
    </w:lvl>
    <w:lvl w:ilvl="4" w:tplc="59569EAC">
      <w:numFmt w:val="bullet"/>
      <w:lvlText w:val="•"/>
      <w:lvlJc w:val="left"/>
      <w:pPr>
        <w:ind w:left="4325" w:hanging="231"/>
      </w:pPr>
      <w:rPr>
        <w:rFonts w:hint="default"/>
      </w:rPr>
    </w:lvl>
    <w:lvl w:ilvl="5" w:tplc="D94839CE">
      <w:numFmt w:val="bullet"/>
      <w:lvlText w:val="•"/>
      <w:lvlJc w:val="left"/>
      <w:pPr>
        <w:ind w:left="5182" w:hanging="231"/>
      </w:pPr>
      <w:rPr>
        <w:rFonts w:hint="default"/>
      </w:rPr>
    </w:lvl>
    <w:lvl w:ilvl="6" w:tplc="07A0F7E6">
      <w:numFmt w:val="bullet"/>
      <w:lvlText w:val="•"/>
      <w:lvlJc w:val="left"/>
      <w:pPr>
        <w:ind w:left="6038" w:hanging="231"/>
      </w:pPr>
      <w:rPr>
        <w:rFonts w:hint="default"/>
      </w:rPr>
    </w:lvl>
    <w:lvl w:ilvl="7" w:tplc="F1E44018">
      <w:numFmt w:val="bullet"/>
      <w:lvlText w:val="•"/>
      <w:lvlJc w:val="left"/>
      <w:pPr>
        <w:ind w:left="6895" w:hanging="231"/>
      </w:pPr>
      <w:rPr>
        <w:rFonts w:hint="default"/>
      </w:rPr>
    </w:lvl>
    <w:lvl w:ilvl="8" w:tplc="43125DF0">
      <w:numFmt w:val="bullet"/>
      <w:lvlText w:val="•"/>
      <w:lvlJc w:val="left"/>
      <w:pPr>
        <w:ind w:left="7751" w:hanging="231"/>
      </w:pPr>
      <w:rPr>
        <w:rFonts w:hint="default"/>
      </w:rPr>
    </w:lvl>
  </w:abstractNum>
  <w:abstractNum w:abstractNumId="14">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8">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9">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20">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1">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2">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3">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8">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29">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0">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1">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3">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4">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5">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8">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9">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0">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1">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5"/>
  </w:num>
  <w:num w:numId="2">
    <w:abstractNumId w:val="35"/>
  </w:num>
  <w:num w:numId="3">
    <w:abstractNumId w:val="4"/>
  </w:num>
  <w:num w:numId="4">
    <w:abstractNumId w:val="11"/>
  </w:num>
  <w:num w:numId="5">
    <w:abstractNumId w:val="23"/>
  </w:num>
  <w:num w:numId="6">
    <w:abstractNumId w:val="9"/>
  </w:num>
  <w:num w:numId="7">
    <w:abstractNumId w:val="2"/>
  </w:num>
  <w:num w:numId="8">
    <w:abstractNumId w:val="12"/>
  </w:num>
  <w:num w:numId="9">
    <w:abstractNumId w:val="33"/>
  </w:num>
  <w:num w:numId="10">
    <w:abstractNumId w:val="40"/>
  </w:num>
  <w:num w:numId="11">
    <w:abstractNumId w:val="8"/>
  </w:num>
  <w:num w:numId="12">
    <w:abstractNumId w:val="29"/>
  </w:num>
  <w:num w:numId="13">
    <w:abstractNumId w:val="14"/>
  </w:num>
  <w:num w:numId="14">
    <w:abstractNumId w:val="20"/>
  </w:num>
  <w:num w:numId="15">
    <w:abstractNumId w:val="37"/>
  </w:num>
  <w:num w:numId="16">
    <w:abstractNumId w:val="10"/>
  </w:num>
  <w:num w:numId="17">
    <w:abstractNumId w:val="27"/>
  </w:num>
  <w:num w:numId="18">
    <w:abstractNumId w:val="22"/>
  </w:num>
  <w:num w:numId="19">
    <w:abstractNumId w:val="17"/>
  </w:num>
  <w:num w:numId="20">
    <w:abstractNumId w:val="1"/>
  </w:num>
  <w:num w:numId="21">
    <w:abstractNumId w:val="30"/>
  </w:num>
  <w:num w:numId="22">
    <w:abstractNumId w:val="7"/>
  </w:num>
  <w:num w:numId="23">
    <w:abstractNumId w:val="32"/>
  </w:num>
  <w:num w:numId="24">
    <w:abstractNumId w:val="6"/>
  </w:num>
  <w:num w:numId="25">
    <w:abstractNumId w:val="16"/>
  </w:num>
  <w:num w:numId="26">
    <w:abstractNumId w:val="19"/>
  </w:num>
  <w:num w:numId="27">
    <w:abstractNumId w:val="31"/>
  </w:num>
  <w:num w:numId="28">
    <w:abstractNumId w:val="38"/>
  </w:num>
  <w:num w:numId="29">
    <w:abstractNumId w:val="18"/>
  </w:num>
  <w:num w:numId="30">
    <w:abstractNumId w:val="36"/>
  </w:num>
  <w:num w:numId="31">
    <w:abstractNumId w:val="5"/>
  </w:num>
  <w:num w:numId="32">
    <w:abstractNumId w:val="24"/>
  </w:num>
  <w:num w:numId="33">
    <w:abstractNumId w:val="15"/>
  </w:num>
  <w:num w:numId="34">
    <w:abstractNumId w:val="39"/>
  </w:num>
  <w:num w:numId="35">
    <w:abstractNumId w:val="26"/>
  </w:num>
  <w:num w:numId="36">
    <w:abstractNumId w:val="34"/>
  </w:num>
  <w:num w:numId="37">
    <w:abstractNumId w:val="3"/>
  </w:num>
  <w:num w:numId="38">
    <w:abstractNumId w:val="21"/>
  </w:num>
  <w:num w:numId="39">
    <w:abstractNumId w:val="0"/>
  </w:num>
  <w:num w:numId="40">
    <w:abstractNumId w:val="28"/>
  </w:num>
  <w:num w:numId="41">
    <w:abstractNumId w:val="4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29"/>
    <w:rsid w:val="00003F04"/>
    <w:rsid w:val="000047BA"/>
    <w:rsid w:val="00016A58"/>
    <w:rsid w:val="000207EF"/>
    <w:rsid w:val="00023E3B"/>
    <w:rsid w:val="00027FDE"/>
    <w:rsid w:val="000440DB"/>
    <w:rsid w:val="000505B8"/>
    <w:rsid w:val="00055B96"/>
    <w:rsid w:val="000644BC"/>
    <w:rsid w:val="000749C5"/>
    <w:rsid w:val="000753CA"/>
    <w:rsid w:val="00076DC7"/>
    <w:rsid w:val="00086226"/>
    <w:rsid w:val="0009326D"/>
    <w:rsid w:val="0009766B"/>
    <w:rsid w:val="000A4963"/>
    <w:rsid w:val="000A522A"/>
    <w:rsid w:val="000B016A"/>
    <w:rsid w:val="000B5974"/>
    <w:rsid w:val="000B61DE"/>
    <w:rsid w:val="000C460E"/>
    <w:rsid w:val="000C50A6"/>
    <w:rsid w:val="000D15AF"/>
    <w:rsid w:val="000E2207"/>
    <w:rsid w:val="000F1C06"/>
    <w:rsid w:val="000F60D1"/>
    <w:rsid w:val="00101B04"/>
    <w:rsid w:val="00107212"/>
    <w:rsid w:val="001077DA"/>
    <w:rsid w:val="00116383"/>
    <w:rsid w:val="001245CD"/>
    <w:rsid w:val="001508C4"/>
    <w:rsid w:val="00153471"/>
    <w:rsid w:val="00157121"/>
    <w:rsid w:val="0016033F"/>
    <w:rsid w:val="00172A27"/>
    <w:rsid w:val="00176E26"/>
    <w:rsid w:val="00180CF6"/>
    <w:rsid w:val="001906CB"/>
    <w:rsid w:val="00197615"/>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54A"/>
    <w:rsid w:val="00231C06"/>
    <w:rsid w:val="002367BA"/>
    <w:rsid w:val="00245FF6"/>
    <w:rsid w:val="002528F5"/>
    <w:rsid w:val="00263266"/>
    <w:rsid w:val="00263B6D"/>
    <w:rsid w:val="00266213"/>
    <w:rsid w:val="00275846"/>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45AEE"/>
    <w:rsid w:val="003469DF"/>
    <w:rsid w:val="00347CF1"/>
    <w:rsid w:val="00354290"/>
    <w:rsid w:val="003925D6"/>
    <w:rsid w:val="00393B34"/>
    <w:rsid w:val="003B0180"/>
    <w:rsid w:val="003B16E1"/>
    <w:rsid w:val="003B4CBA"/>
    <w:rsid w:val="003C26AF"/>
    <w:rsid w:val="003D70F8"/>
    <w:rsid w:val="003E0C32"/>
    <w:rsid w:val="003E3012"/>
    <w:rsid w:val="003E550F"/>
    <w:rsid w:val="004036F4"/>
    <w:rsid w:val="004058F0"/>
    <w:rsid w:val="00405B22"/>
    <w:rsid w:val="00411ABD"/>
    <w:rsid w:val="00425B20"/>
    <w:rsid w:val="004303F4"/>
    <w:rsid w:val="00440A53"/>
    <w:rsid w:val="0044457C"/>
    <w:rsid w:val="00446819"/>
    <w:rsid w:val="00465F6C"/>
    <w:rsid w:val="004674F5"/>
    <w:rsid w:val="00471806"/>
    <w:rsid w:val="00484FA9"/>
    <w:rsid w:val="00486809"/>
    <w:rsid w:val="00487B77"/>
    <w:rsid w:val="00493A21"/>
    <w:rsid w:val="004A6954"/>
    <w:rsid w:val="004B421C"/>
    <w:rsid w:val="004B43DC"/>
    <w:rsid w:val="004C0A3A"/>
    <w:rsid w:val="004C0C5D"/>
    <w:rsid w:val="004C13DC"/>
    <w:rsid w:val="004D6D34"/>
    <w:rsid w:val="004E44E6"/>
    <w:rsid w:val="00500ACE"/>
    <w:rsid w:val="0050252E"/>
    <w:rsid w:val="0050761F"/>
    <w:rsid w:val="0051046A"/>
    <w:rsid w:val="00520100"/>
    <w:rsid w:val="00521B1E"/>
    <w:rsid w:val="005258DC"/>
    <w:rsid w:val="0053234D"/>
    <w:rsid w:val="00544C94"/>
    <w:rsid w:val="00545249"/>
    <w:rsid w:val="0055132D"/>
    <w:rsid w:val="00551E3C"/>
    <w:rsid w:val="00554C9C"/>
    <w:rsid w:val="00567294"/>
    <w:rsid w:val="00574F0B"/>
    <w:rsid w:val="00580D68"/>
    <w:rsid w:val="005840F6"/>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0BFD"/>
    <w:rsid w:val="00622133"/>
    <w:rsid w:val="00622EDE"/>
    <w:rsid w:val="0062673B"/>
    <w:rsid w:val="00627EF9"/>
    <w:rsid w:val="00633D4E"/>
    <w:rsid w:val="00635B00"/>
    <w:rsid w:val="00640B7F"/>
    <w:rsid w:val="006551DC"/>
    <w:rsid w:val="00656E94"/>
    <w:rsid w:val="00662906"/>
    <w:rsid w:val="006656B7"/>
    <w:rsid w:val="0066761A"/>
    <w:rsid w:val="006814AE"/>
    <w:rsid w:val="006829DE"/>
    <w:rsid w:val="00692217"/>
    <w:rsid w:val="006950FD"/>
    <w:rsid w:val="006B01BD"/>
    <w:rsid w:val="006B4427"/>
    <w:rsid w:val="006B53FC"/>
    <w:rsid w:val="006C06A1"/>
    <w:rsid w:val="006C2599"/>
    <w:rsid w:val="006C40B7"/>
    <w:rsid w:val="006C566E"/>
    <w:rsid w:val="006D01F8"/>
    <w:rsid w:val="006D248B"/>
    <w:rsid w:val="006E7422"/>
    <w:rsid w:val="006F2D50"/>
    <w:rsid w:val="006F6261"/>
    <w:rsid w:val="007121D0"/>
    <w:rsid w:val="00713BA2"/>
    <w:rsid w:val="007200FA"/>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5516"/>
    <w:rsid w:val="007D08AE"/>
    <w:rsid w:val="007F581D"/>
    <w:rsid w:val="007F72D1"/>
    <w:rsid w:val="008075D5"/>
    <w:rsid w:val="0081209B"/>
    <w:rsid w:val="0081522C"/>
    <w:rsid w:val="008202BB"/>
    <w:rsid w:val="00820F66"/>
    <w:rsid w:val="0082184B"/>
    <w:rsid w:val="00822FE3"/>
    <w:rsid w:val="00823EEF"/>
    <w:rsid w:val="00824DBC"/>
    <w:rsid w:val="0083277C"/>
    <w:rsid w:val="00846901"/>
    <w:rsid w:val="00853002"/>
    <w:rsid w:val="00857E92"/>
    <w:rsid w:val="008672C7"/>
    <w:rsid w:val="00867EB8"/>
    <w:rsid w:val="008720CF"/>
    <w:rsid w:val="00872D16"/>
    <w:rsid w:val="00877B67"/>
    <w:rsid w:val="00887369"/>
    <w:rsid w:val="008942AB"/>
    <w:rsid w:val="008A2B1A"/>
    <w:rsid w:val="008A476E"/>
    <w:rsid w:val="008A67E3"/>
    <w:rsid w:val="008B0D79"/>
    <w:rsid w:val="008B339C"/>
    <w:rsid w:val="008B6E58"/>
    <w:rsid w:val="008C3103"/>
    <w:rsid w:val="008D4A5D"/>
    <w:rsid w:val="008E22CC"/>
    <w:rsid w:val="008E32CE"/>
    <w:rsid w:val="008F0212"/>
    <w:rsid w:val="009006AB"/>
    <w:rsid w:val="00900DD1"/>
    <w:rsid w:val="00906D00"/>
    <w:rsid w:val="00906DA7"/>
    <w:rsid w:val="00911577"/>
    <w:rsid w:val="00914526"/>
    <w:rsid w:val="00921BE3"/>
    <w:rsid w:val="0092513D"/>
    <w:rsid w:val="0093080C"/>
    <w:rsid w:val="00935B42"/>
    <w:rsid w:val="009443E8"/>
    <w:rsid w:val="00953A2F"/>
    <w:rsid w:val="009570E5"/>
    <w:rsid w:val="009642BE"/>
    <w:rsid w:val="009767D6"/>
    <w:rsid w:val="00980845"/>
    <w:rsid w:val="00980868"/>
    <w:rsid w:val="00990D1C"/>
    <w:rsid w:val="00991FC8"/>
    <w:rsid w:val="0099711D"/>
    <w:rsid w:val="009A23C0"/>
    <w:rsid w:val="009A420B"/>
    <w:rsid w:val="009A4B66"/>
    <w:rsid w:val="009A6713"/>
    <w:rsid w:val="009C3B86"/>
    <w:rsid w:val="009C56FA"/>
    <w:rsid w:val="009D4CC0"/>
    <w:rsid w:val="009E2198"/>
    <w:rsid w:val="009E4603"/>
    <w:rsid w:val="009E7E6C"/>
    <w:rsid w:val="00A20346"/>
    <w:rsid w:val="00A22FFE"/>
    <w:rsid w:val="00A24DC4"/>
    <w:rsid w:val="00A377B1"/>
    <w:rsid w:val="00A40819"/>
    <w:rsid w:val="00A52E2A"/>
    <w:rsid w:val="00A60164"/>
    <w:rsid w:val="00A67A94"/>
    <w:rsid w:val="00A82B69"/>
    <w:rsid w:val="00A90F9B"/>
    <w:rsid w:val="00A975C2"/>
    <w:rsid w:val="00AA186B"/>
    <w:rsid w:val="00AA414D"/>
    <w:rsid w:val="00AA7DB2"/>
    <w:rsid w:val="00AB3119"/>
    <w:rsid w:val="00AC0879"/>
    <w:rsid w:val="00AD21D6"/>
    <w:rsid w:val="00AD3D85"/>
    <w:rsid w:val="00AD5F4E"/>
    <w:rsid w:val="00AD756C"/>
    <w:rsid w:val="00AE4D1A"/>
    <w:rsid w:val="00AF3B36"/>
    <w:rsid w:val="00AF4E26"/>
    <w:rsid w:val="00B05906"/>
    <w:rsid w:val="00B17C61"/>
    <w:rsid w:val="00B21079"/>
    <w:rsid w:val="00B361EB"/>
    <w:rsid w:val="00B475D0"/>
    <w:rsid w:val="00B6430C"/>
    <w:rsid w:val="00B7437A"/>
    <w:rsid w:val="00B75F1D"/>
    <w:rsid w:val="00B76111"/>
    <w:rsid w:val="00B81D10"/>
    <w:rsid w:val="00BA347A"/>
    <w:rsid w:val="00BA5E5F"/>
    <w:rsid w:val="00BA6252"/>
    <w:rsid w:val="00BB33A8"/>
    <w:rsid w:val="00BB6567"/>
    <w:rsid w:val="00BD7CEB"/>
    <w:rsid w:val="00BE2E7E"/>
    <w:rsid w:val="00BE6BE7"/>
    <w:rsid w:val="00BF7CF8"/>
    <w:rsid w:val="00C03B58"/>
    <w:rsid w:val="00C03CE8"/>
    <w:rsid w:val="00C10C0A"/>
    <w:rsid w:val="00C13578"/>
    <w:rsid w:val="00C13E11"/>
    <w:rsid w:val="00C17143"/>
    <w:rsid w:val="00C233F1"/>
    <w:rsid w:val="00C31335"/>
    <w:rsid w:val="00C32E76"/>
    <w:rsid w:val="00C35D41"/>
    <w:rsid w:val="00C434B8"/>
    <w:rsid w:val="00C47C0B"/>
    <w:rsid w:val="00C51895"/>
    <w:rsid w:val="00C63BD6"/>
    <w:rsid w:val="00C66FA5"/>
    <w:rsid w:val="00C742F1"/>
    <w:rsid w:val="00C76A3B"/>
    <w:rsid w:val="00C77AB6"/>
    <w:rsid w:val="00C82C85"/>
    <w:rsid w:val="00C82D57"/>
    <w:rsid w:val="00C9063F"/>
    <w:rsid w:val="00C95434"/>
    <w:rsid w:val="00CA20F2"/>
    <w:rsid w:val="00CB30E1"/>
    <w:rsid w:val="00CC28A0"/>
    <w:rsid w:val="00CC3C45"/>
    <w:rsid w:val="00CC4AB8"/>
    <w:rsid w:val="00CC604D"/>
    <w:rsid w:val="00CD6D96"/>
    <w:rsid w:val="00CE08C4"/>
    <w:rsid w:val="00CF049B"/>
    <w:rsid w:val="00CF5F2A"/>
    <w:rsid w:val="00D050C0"/>
    <w:rsid w:val="00D06F5D"/>
    <w:rsid w:val="00D0762E"/>
    <w:rsid w:val="00D11ADA"/>
    <w:rsid w:val="00D227F3"/>
    <w:rsid w:val="00D231E0"/>
    <w:rsid w:val="00D27D5C"/>
    <w:rsid w:val="00D304DE"/>
    <w:rsid w:val="00D43C16"/>
    <w:rsid w:val="00D45EF8"/>
    <w:rsid w:val="00D52031"/>
    <w:rsid w:val="00D53B50"/>
    <w:rsid w:val="00D573B2"/>
    <w:rsid w:val="00D61656"/>
    <w:rsid w:val="00D63479"/>
    <w:rsid w:val="00D70633"/>
    <w:rsid w:val="00D70AB4"/>
    <w:rsid w:val="00D741F2"/>
    <w:rsid w:val="00D83A90"/>
    <w:rsid w:val="00D86FFD"/>
    <w:rsid w:val="00D87D7D"/>
    <w:rsid w:val="00D9624B"/>
    <w:rsid w:val="00D97657"/>
    <w:rsid w:val="00DA1D1D"/>
    <w:rsid w:val="00DA353A"/>
    <w:rsid w:val="00DA55EF"/>
    <w:rsid w:val="00DB32C6"/>
    <w:rsid w:val="00DC1517"/>
    <w:rsid w:val="00DC2A04"/>
    <w:rsid w:val="00DC6BFF"/>
    <w:rsid w:val="00DD1D70"/>
    <w:rsid w:val="00DD2C30"/>
    <w:rsid w:val="00DD2F59"/>
    <w:rsid w:val="00DD710C"/>
    <w:rsid w:val="00DE7504"/>
    <w:rsid w:val="00E02223"/>
    <w:rsid w:val="00E15000"/>
    <w:rsid w:val="00E1569C"/>
    <w:rsid w:val="00E17534"/>
    <w:rsid w:val="00E1799C"/>
    <w:rsid w:val="00E23181"/>
    <w:rsid w:val="00E34510"/>
    <w:rsid w:val="00E43016"/>
    <w:rsid w:val="00E65933"/>
    <w:rsid w:val="00E663F3"/>
    <w:rsid w:val="00E76F9A"/>
    <w:rsid w:val="00E846D5"/>
    <w:rsid w:val="00E91429"/>
    <w:rsid w:val="00E9218F"/>
    <w:rsid w:val="00EB1F95"/>
    <w:rsid w:val="00EC335F"/>
    <w:rsid w:val="00ED2CF4"/>
    <w:rsid w:val="00EE5318"/>
    <w:rsid w:val="00EE725C"/>
    <w:rsid w:val="00EF053B"/>
    <w:rsid w:val="00EF087A"/>
    <w:rsid w:val="00EF2D38"/>
    <w:rsid w:val="00EF6443"/>
    <w:rsid w:val="00F13B5C"/>
    <w:rsid w:val="00F1414E"/>
    <w:rsid w:val="00F22280"/>
    <w:rsid w:val="00F30561"/>
    <w:rsid w:val="00F31ABC"/>
    <w:rsid w:val="00F33157"/>
    <w:rsid w:val="00F34B96"/>
    <w:rsid w:val="00F35AD7"/>
    <w:rsid w:val="00F459D7"/>
    <w:rsid w:val="00F4635F"/>
    <w:rsid w:val="00F55EB2"/>
    <w:rsid w:val="00F61762"/>
    <w:rsid w:val="00F74B2C"/>
    <w:rsid w:val="00F76B35"/>
    <w:rsid w:val="00F80AAB"/>
    <w:rsid w:val="00F87948"/>
    <w:rsid w:val="00F928E1"/>
    <w:rsid w:val="00FA7724"/>
    <w:rsid w:val="00FC1772"/>
    <w:rsid w:val="00FC362F"/>
    <w:rsid w:val="00FC4FF0"/>
    <w:rsid w:val="00FD37F5"/>
    <w:rsid w:val="00FE0BB9"/>
    <w:rsid w:val="00FE35C5"/>
    <w:rsid w:val="00FE5F9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D099-2E28-4672-9717-00C219A0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898</Words>
  <Characters>5122</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45</cp:revision>
  <cp:lastPrinted>1900-12-31T17:00:00Z</cp:lastPrinted>
  <dcterms:created xsi:type="dcterms:W3CDTF">2018-11-14T13:26:00Z</dcterms:created>
  <dcterms:modified xsi:type="dcterms:W3CDTF">2018-11-14T14:33:00Z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