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9D3" w:rsidRDefault="00BE59D3" w:rsidP="00BE59D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MỘT SỐ BÁO CÁO </w:t>
      </w:r>
      <w:r w:rsidR="00332435">
        <w:rPr>
          <w:rFonts w:ascii="Times New Roman" w:hAnsi="Times New Roman" w:cs="Times New Roman"/>
          <w:b/>
          <w:sz w:val="26"/>
          <w:szCs w:val="26"/>
        </w:rPr>
        <w:t xml:space="preserve">CỦA CÁC TỔ CHỨC </w:t>
      </w:r>
      <w:r>
        <w:rPr>
          <w:rFonts w:ascii="Times New Roman" w:hAnsi="Times New Roman" w:cs="Times New Roman"/>
          <w:b/>
          <w:sz w:val="26"/>
          <w:szCs w:val="26"/>
        </w:rPr>
        <w:t>VỀ KIỂM SOÁT NỘI BỘ</w:t>
      </w:r>
    </w:p>
    <w:p w:rsidR="00BE59D3" w:rsidRDefault="00BE59D3" w:rsidP="00BE59D3">
      <w:pPr>
        <w:spacing w:after="0" w:line="360" w:lineRule="auto"/>
        <w:jc w:val="both"/>
        <w:rPr>
          <w:rFonts w:ascii="Times New Roman" w:hAnsi="Times New Roman" w:cs="Times New Roman"/>
          <w:b/>
          <w:sz w:val="26"/>
          <w:szCs w:val="26"/>
        </w:rPr>
      </w:pPr>
    </w:p>
    <w:p w:rsidR="00BE59D3" w:rsidRDefault="00BE59D3" w:rsidP="00BE59D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Ngoài báo cáo COSO về KSNB thì còn có một số các báo cáo khác thể hiện về KSNB cho một số lĩnh vực khác do các ủy ban khác nhau ban hành. Cụ thể:</w:t>
      </w:r>
    </w:p>
    <w:p w:rsidR="00BE59D3" w:rsidRPr="005E4E6E" w:rsidRDefault="00BE59D3" w:rsidP="00BE59D3">
      <w:pPr>
        <w:spacing w:after="0" w:line="360" w:lineRule="auto"/>
        <w:jc w:val="both"/>
        <w:rPr>
          <w:rFonts w:ascii="Times New Roman" w:hAnsi="Times New Roman" w:cs="Times New Roman"/>
          <w:b/>
          <w:sz w:val="26"/>
          <w:szCs w:val="26"/>
        </w:rPr>
      </w:pPr>
      <w:r w:rsidRPr="005E4E6E">
        <w:rPr>
          <w:rFonts w:ascii="Times New Roman" w:hAnsi="Times New Roman" w:cs="Times New Roman"/>
          <w:b/>
          <w:sz w:val="26"/>
          <w:szCs w:val="26"/>
        </w:rPr>
        <w:t>1.</w:t>
      </w:r>
      <w:r>
        <w:rPr>
          <w:rFonts w:ascii="Times New Roman" w:hAnsi="Times New Roman" w:cs="Times New Roman"/>
          <w:b/>
          <w:sz w:val="26"/>
          <w:szCs w:val="26"/>
        </w:rPr>
        <w:t xml:space="preserve"> </w:t>
      </w:r>
      <w:r w:rsidRPr="005E4E6E">
        <w:rPr>
          <w:rFonts w:ascii="Times New Roman" w:hAnsi="Times New Roman" w:cs="Times New Roman"/>
          <w:b/>
          <w:sz w:val="26"/>
          <w:szCs w:val="26"/>
        </w:rPr>
        <w:t>Báo cáo Turnbull 1999 của Anh</w:t>
      </w:r>
    </w:p>
    <w:p w:rsidR="00BE59D3" w:rsidRPr="005E4E6E" w:rsidRDefault="00BE59D3" w:rsidP="00BE59D3">
      <w:pPr>
        <w:spacing w:after="0" w:line="360" w:lineRule="auto"/>
        <w:ind w:firstLine="720"/>
        <w:jc w:val="both"/>
        <w:rPr>
          <w:rFonts w:ascii="Times New Roman" w:hAnsi="Times New Roman" w:cs="Times New Roman"/>
          <w:sz w:val="26"/>
          <w:szCs w:val="26"/>
        </w:rPr>
      </w:pPr>
      <w:r w:rsidRPr="005E4E6E">
        <w:rPr>
          <w:rFonts w:ascii="Times New Roman" w:hAnsi="Times New Roman" w:cs="Times New Roman"/>
          <w:sz w:val="26"/>
          <w:szCs w:val="26"/>
        </w:rPr>
        <w:t>Tại Vương quốc Anh, theo quy định, các công ty có giao dịch chứng khoán trên sở giao dịch chứng khoán London, thì báo cáo tài chính năm phải được xác nhận tuân thủ tiêu chuẩn của bộ luật Cadbury, đó là bộ luật ban hành năm 1992 (một phiên bản của Ủy ban Treadway áp dụng tại Anh). Báo cáo Turnbull được ban hành vào 1999, Báo cáo này về căn bản không có sự khác biệt trọng yếu so với Báo cáo COSO 1992, mặc dù tầm nhìn hẹp hơn. Theo đó, một hệ thống KSNB tốt bao gồm các hoạt động kiểm soát, quá trình thông tin và truyền thông, quá trình giám sát liên tục sựhữu hiệu của KSNB, với bốn tiêu chí: (1) thừa nhận trách nhiệm của KSNB, (2) chấp nhận KSNB cung cấp sự đảm bảo hợp lý nhằm tránh những sai sót trọng yếu hoặc mất mát tài sản, (3) thiết kế những thủ tục quan trọng nhằm kiểm soát tài chính hiệu quả và (4) đảm bảo rằng các giám đốc đã xem xét hiệu quả tài chính của KSNB.</w:t>
      </w:r>
    </w:p>
    <w:p w:rsidR="00BE59D3" w:rsidRPr="005E4E6E" w:rsidRDefault="00BE59D3" w:rsidP="00BE59D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 </w:t>
      </w:r>
      <w:r w:rsidRPr="005E4E6E">
        <w:rPr>
          <w:rFonts w:ascii="Times New Roman" w:hAnsi="Times New Roman" w:cs="Times New Roman"/>
          <w:b/>
          <w:sz w:val="26"/>
          <w:szCs w:val="26"/>
        </w:rPr>
        <w:t>Báo</w:t>
      </w:r>
      <w:r>
        <w:rPr>
          <w:rFonts w:ascii="Times New Roman" w:hAnsi="Times New Roman" w:cs="Times New Roman"/>
          <w:b/>
          <w:sz w:val="26"/>
          <w:szCs w:val="26"/>
        </w:rPr>
        <w:t xml:space="preserve"> cáo CoCo (Criteria of Control C</w:t>
      </w:r>
      <w:r w:rsidRPr="005E4E6E">
        <w:rPr>
          <w:rFonts w:ascii="Times New Roman" w:hAnsi="Times New Roman" w:cs="Times New Roman"/>
          <w:b/>
          <w:sz w:val="26"/>
          <w:szCs w:val="26"/>
        </w:rPr>
        <w:t>ommittee) của Canada</w:t>
      </w:r>
    </w:p>
    <w:p w:rsidR="00BE59D3" w:rsidRPr="005E4E6E" w:rsidRDefault="00BE59D3" w:rsidP="00BE59D3">
      <w:pPr>
        <w:spacing w:after="0" w:line="360" w:lineRule="auto"/>
        <w:ind w:firstLine="720"/>
        <w:jc w:val="both"/>
        <w:rPr>
          <w:rFonts w:ascii="Times New Roman" w:hAnsi="Times New Roman" w:cs="Times New Roman"/>
          <w:sz w:val="26"/>
          <w:szCs w:val="26"/>
        </w:rPr>
      </w:pPr>
      <w:r w:rsidRPr="005E4E6E">
        <w:rPr>
          <w:rFonts w:ascii="Times New Roman" w:hAnsi="Times New Roman" w:cs="Times New Roman"/>
          <w:sz w:val="26"/>
          <w:szCs w:val="26"/>
        </w:rPr>
        <w:t xml:space="preserve">Vào 1995, tại Canada, tổ chức CICA (CICA-Canadian Institute of Chartered Accountants) đã ban hành báo cáo CoCo - “Hướng dẫn về kiểm toán” dựa trên hướng dẫn của Ủy ban MacDonald vào năm 1988. </w:t>
      </w:r>
      <w:proofErr w:type="gramStart"/>
      <w:r w:rsidRPr="005E4E6E">
        <w:rPr>
          <w:rFonts w:ascii="Times New Roman" w:hAnsi="Times New Roman" w:cs="Times New Roman"/>
          <w:sz w:val="26"/>
          <w:szCs w:val="26"/>
        </w:rPr>
        <w:t>Vào thời điểm này, CICA không sử dụng toàn bộ Báo cáo của COSO.</w:t>
      </w:r>
      <w:proofErr w:type="gramEnd"/>
      <w:r w:rsidRPr="005E4E6E">
        <w:rPr>
          <w:rFonts w:ascii="Times New Roman" w:hAnsi="Times New Roman" w:cs="Times New Roman"/>
          <w:sz w:val="26"/>
          <w:szCs w:val="26"/>
        </w:rPr>
        <w:t xml:space="preserve"> Nhưng những năm gần đây, CoCo đã hiệu </w:t>
      </w:r>
      <w:proofErr w:type="gramStart"/>
      <w:r w:rsidRPr="005E4E6E">
        <w:rPr>
          <w:rFonts w:ascii="Times New Roman" w:hAnsi="Times New Roman" w:cs="Times New Roman"/>
          <w:sz w:val="26"/>
          <w:szCs w:val="26"/>
        </w:rPr>
        <w:t>đính  báo</w:t>
      </w:r>
      <w:proofErr w:type="gramEnd"/>
      <w:r w:rsidRPr="005E4E6E">
        <w:rPr>
          <w:rFonts w:ascii="Times New Roman" w:hAnsi="Times New Roman" w:cs="Times New Roman"/>
          <w:sz w:val="26"/>
          <w:szCs w:val="26"/>
        </w:rPr>
        <w:t xml:space="preserve"> cáo dựa trên khuôn mẩu của COSO, các nhân tố của báo cáo CoCo cũng giống như COSO nhấn mạnh quan điểm cân nhắc giữa lợi ích và chi phí khi thiết kế hoạt động kiểm soát nhằm đảm bảo đạt được mục tiêu mà tránh được sai phạm do lỗi của con người hoặc do việc quản lý chồng chéo.</w:t>
      </w:r>
    </w:p>
    <w:p w:rsidR="00BE59D3" w:rsidRPr="005E4E6E" w:rsidRDefault="00BE59D3" w:rsidP="00BE59D3">
      <w:pPr>
        <w:spacing w:after="0" w:line="360" w:lineRule="auto"/>
        <w:ind w:firstLine="720"/>
        <w:jc w:val="both"/>
        <w:rPr>
          <w:rFonts w:ascii="Times New Roman" w:hAnsi="Times New Roman" w:cs="Times New Roman"/>
          <w:i/>
          <w:sz w:val="26"/>
          <w:szCs w:val="26"/>
        </w:rPr>
      </w:pPr>
      <w:r w:rsidRPr="005E4E6E">
        <w:rPr>
          <w:rFonts w:ascii="Times New Roman" w:hAnsi="Times New Roman" w:cs="Times New Roman"/>
          <w:sz w:val="26"/>
          <w:szCs w:val="26"/>
        </w:rPr>
        <w:t xml:space="preserve">CoCo đưa ra định nghĩa về kiểm soát nội bộ là: </w:t>
      </w:r>
      <w:r w:rsidRPr="005E4E6E">
        <w:rPr>
          <w:rFonts w:ascii="Times New Roman" w:hAnsi="Times New Roman" w:cs="Times New Roman"/>
          <w:i/>
          <w:sz w:val="26"/>
          <w:szCs w:val="26"/>
        </w:rPr>
        <w:t xml:space="preserve">“Các chính sách, thủ tục nhằm giúp tổ chức đạt được mục tiêu. </w:t>
      </w:r>
      <w:proofErr w:type="gramStart"/>
      <w:r w:rsidRPr="005E4E6E">
        <w:rPr>
          <w:rFonts w:ascii="Times New Roman" w:hAnsi="Times New Roman" w:cs="Times New Roman"/>
          <w:i/>
          <w:sz w:val="26"/>
          <w:szCs w:val="26"/>
        </w:rPr>
        <w:t>Mức độ kiểm soát chỉ là cung cấp sự đảm bảo hợp lý”.</w:t>
      </w:r>
      <w:proofErr w:type="gramEnd"/>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sz w:val="26"/>
          <w:szCs w:val="26"/>
        </w:rPr>
        <w:tab/>
        <w:t>Theo báo cáo này, KSNB bao gồm bốn yếu tố:</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i/>
          <w:sz w:val="26"/>
          <w:szCs w:val="26"/>
        </w:rPr>
        <w:lastRenderedPageBreak/>
        <w:t xml:space="preserve">Mục tiêu: </w:t>
      </w:r>
      <w:r w:rsidRPr="005E4E6E">
        <w:rPr>
          <w:rFonts w:ascii="Times New Roman" w:hAnsi="Times New Roman" w:cs="Times New Roman"/>
          <w:sz w:val="26"/>
          <w:szCs w:val="26"/>
        </w:rPr>
        <w:t>bao gồm việc phổ biến các mục tiêu của tổ chức, nhận dạng và đánh giá rủi ro ảnh hưởng đến việc thực hiện, xây dựng các chính sách thực hiện mục tiêu.</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i/>
          <w:sz w:val="26"/>
          <w:szCs w:val="26"/>
        </w:rPr>
        <w:t xml:space="preserve">Cam kết: </w:t>
      </w:r>
      <w:r w:rsidRPr="005E4E6E">
        <w:rPr>
          <w:rFonts w:ascii="Times New Roman" w:hAnsi="Times New Roman" w:cs="Times New Roman"/>
          <w:sz w:val="26"/>
          <w:szCs w:val="26"/>
        </w:rPr>
        <w:t>bao gồm các giá trị đạo đức, các chính sách nhân sự, phân chia quyền hạn và trách nhiệm, sự trung thực.</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i/>
          <w:sz w:val="26"/>
          <w:szCs w:val="26"/>
        </w:rPr>
        <w:t xml:space="preserve">Năng lực: </w:t>
      </w:r>
      <w:r w:rsidRPr="005E4E6E">
        <w:rPr>
          <w:rFonts w:ascii="Times New Roman" w:hAnsi="Times New Roman" w:cs="Times New Roman"/>
          <w:sz w:val="26"/>
          <w:szCs w:val="26"/>
        </w:rPr>
        <w:t>bao gồm kiến thức và kỹ năng, quy trình truyền thống và sự phối hợp ra quyết định.</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i/>
          <w:sz w:val="26"/>
          <w:szCs w:val="26"/>
        </w:rPr>
        <w:t xml:space="preserve">Giám sát và học hỏi: </w:t>
      </w:r>
      <w:r w:rsidRPr="005E4E6E">
        <w:rPr>
          <w:rFonts w:ascii="Times New Roman" w:hAnsi="Times New Roman" w:cs="Times New Roman"/>
          <w:sz w:val="26"/>
          <w:szCs w:val="26"/>
        </w:rPr>
        <w:t>bao gồm sự nhận thức về các nhân tố ảnh hướng đến các mục tiêu hiện tại và tương lai, giám sát việc thực hiện các mục tiêu, định kỳ đánh giá sự hữu hiệu của KSNB.</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sz w:val="26"/>
          <w:szCs w:val="26"/>
        </w:rPr>
        <w:t xml:space="preserve">Các biện pháp kiểm soát mà CoCo tập trung xem xét là: nguồn lực, hệ thống, qui trình, văn hóa, cấu trúc và nhiệm vụ. </w:t>
      </w:r>
      <w:proofErr w:type="gramStart"/>
      <w:r w:rsidRPr="005E4E6E">
        <w:rPr>
          <w:rFonts w:ascii="Times New Roman" w:hAnsi="Times New Roman" w:cs="Times New Roman"/>
          <w:sz w:val="26"/>
          <w:szCs w:val="26"/>
        </w:rPr>
        <w:t>Các yếu tố này kết hợp hài hòa sẽ hỗ trợ đạt được mục tiêu của tổ chức.</w:t>
      </w:r>
      <w:proofErr w:type="gramEnd"/>
    </w:p>
    <w:p w:rsidR="00BE59D3" w:rsidRPr="005E4E6E" w:rsidRDefault="00BE59D3" w:rsidP="00BE59D3">
      <w:pPr>
        <w:spacing w:after="0" w:line="360" w:lineRule="auto"/>
        <w:ind w:firstLine="540"/>
        <w:jc w:val="both"/>
        <w:rPr>
          <w:rFonts w:ascii="Times New Roman" w:hAnsi="Times New Roman" w:cs="Times New Roman"/>
          <w:sz w:val="26"/>
          <w:szCs w:val="26"/>
        </w:rPr>
      </w:pPr>
      <w:proofErr w:type="gramStart"/>
      <w:r w:rsidRPr="005E4E6E">
        <w:rPr>
          <w:rFonts w:ascii="Times New Roman" w:hAnsi="Times New Roman" w:cs="Times New Roman"/>
          <w:sz w:val="26"/>
          <w:szCs w:val="26"/>
        </w:rPr>
        <w:t>Báo cáo CoCo đưa ra các hướng dẫn dành cho Hội đồng quản trị, nhà quản lý cấp cao, người quản lý sản xuất, chủ sở hữu, người cho vay và các kiểm toán viên.</w:t>
      </w:r>
      <w:proofErr w:type="gramEnd"/>
      <w:r w:rsidRPr="005E4E6E">
        <w:rPr>
          <w:rFonts w:ascii="Times New Roman" w:hAnsi="Times New Roman" w:cs="Times New Roman"/>
          <w:sz w:val="26"/>
          <w:szCs w:val="26"/>
        </w:rPr>
        <w:t xml:space="preserve"> Điểm nổi bật của Báo cáo CoCo là tập trung vào các nhân tố làm nền tảng cho sự tồn tại và thành công của một tổ chức, trong đó tập trung vào đánh giá và đối phó rủi ro như:</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t xml:space="preserve">- </w:t>
      </w:r>
      <w:r w:rsidRPr="005E4E6E">
        <w:rPr>
          <w:rFonts w:cs="Times New Roman"/>
          <w:sz w:val="26"/>
          <w:szCs w:val="26"/>
        </w:rPr>
        <w:t>Nhân tố nhận diện cơ hội và rủi ro của tổ chức;</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t xml:space="preserve">- </w:t>
      </w:r>
      <w:r w:rsidRPr="005E4E6E">
        <w:rPr>
          <w:rFonts w:cs="Times New Roman"/>
          <w:sz w:val="26"/>
          <w:szCs w:val="26"/>
        </w:rPr>
        <w:t xml:space="preserve">Khả năng đối phó rủi ro và nhận dạng cơ hội dựa trên phân tích thông tin, CoCo nhấn mạnh rằng cần nhận thức thách thức cũng chính là cơ hội. Muốn làm được điều này, Hội đồng quản trị, nhà quản lý cao cấp cần có tầm nhìn, cần dựa trên thông tin như báo cáo, chiến lược, kế hoạch, chiến thuật, sang kiến, chương trình, dựa án, mục tiêu để khai thác cơ hội. CoCo cũng đưa ra hướng </w:t>
      </w:r>
      <w:proofErr w:type="gramStart"/>
      <w:r w:rsidRPr="005E4E6E">
        <w:rPr>
          <w:rFonts w:cs="Times New Roman"/>
          <w:sz w:val="26"/>
          <w:szCs w:val="26"/>
        </w:rPr>
        <w:t>dẫn  giảm</w:t>
      </w:r>
      <w:proofErr w:type="gramEnd"/>
      <w:r w:rsidRPr="005E4E6E">
        <w:rPr>
          <w:rFonts w:cs="Times New Roman"/>
          <w:sz w:val="26"/>
          <w:szCs w:val="26"/>
        </w:rPr>
        <w:t xml:space="preserve"> thiểu rủi ro ở mức độ chấp nhận được. Giảm thiểu nguy cơ gây hậu quả xấu do khủng hoảng là mối quan tâm đối với Hội đồng quản trị và quản trị cấp cao. Do vậy, khi tổ chức đã nỗ lực xây dựng chiến lược (có đánh giá hiệu quả) và duy trì lơi thế cạnh tranh thì các sự cố hiếm khi xảy ra.</w:t>
      </w:r>
    </w:p>
    <w:p w:rsidR="00BE59D3" w:rsidRPr="005E4E6E" w:rsidRDefault="00BE59D3" w:rsidP="00BE59D3">
      <w:pPr>
        <w:pStyle w:val="ListParagraph"/>
        <w:spacing w:after="0" w:line="360" w:lineRule="auto"/>
        <w:ind w:left="0" w:firstLine="540"/>
        <w:jc w:val="both"/>
        <w:rPr>
          <w:rFonts w:cs="Times New Roman"/>
          <w:sz w:val="26"/>
          <w:szCs w:val="26"/>
        </w:rPr>
      </w:pPr>
      <w:proofErr w:type="gramStart"/>
      <w:r w:rsidRPr="005E4E6E">
        <w:rPr>
          <w:rFonts w:cs="Times New Roman"/>
          <w:sz w:val="26"/>
          <w:szCs w:val="26"/>
        </w:rPr>
        <w:t>Để đánh giá việc đạt được mục tiêu của KSNB, CoCo đưa ra 20 tiêu chí có thể áp dụng cho tất cả các trường hợp và chúng được xem xét là khá linh hoạt.</w:t>
      </w:r>
      <w:proofErr w:type="gramEnd"/>
      <w:r w:rsidRPr="005E4E6E">
        <w:rPr>
          <w:rFonts w:cs="Times New Roman"/>
          <w:sz w:val="26"/>
          <w:szCs w:val="26"/>
        </w:rPr>
        <w:t xml:space="preserve"> Tổng quát hóa, các tiêu chí của CoCo bao gồm:</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t xml:space="preserve">- </w:t>
      </w:r>
      <w:r w:rsidRPr="005E4E6E">
        <w:rPr>
          <w:rFonts w:cs="Times New Roman"/>
          <w:sz w:val="26"/>
          <w:szCs w:val="26"/>
        </w:rPr>
        <w:t>Mục tiêu: Là tiêu chí cần đạt được của tổ chức;</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lastRenderedPageBreak/>
        <w:t xml:space="preserve">- </w:t>
      </w:r>
      <w:r w:rsidRPr="005E4E6E">
        <w:rPr>
          <w:rFonts w:cs="Times New Roman"/>
          <w:sz w:val="26"/>
          <w:szCs w:val="26"/>
        </w:rPr>
        <w:t xml:space="preserve">Cam kết: Xây dựng sắc thái </w:t>
      </w:r>
      <w:proofErr w:type="gramStart"/>
      <w:r w:rsidRPr="005E4E6E">
        <w:rPr>
          <w:rFonts w:cs="Times New Roman"/>
          <w:sz w:val="26"/>
          <w:szCs w:val="26"/>
        </w:rPr>
        <w:t>chung</w:t>
      </w:r>
      <w:proofErr w:type="gramEnd"/>
      <w:r w:rsidRPr="005E4E6E">
        <w:rPr>
          <w:rFonts w:cs="Times New Roman"/>
          <w:sz w:val="26"/>
          <w:szCs w:val="26"/>
        </w:rPr>
        <w:t xml:space="preserve"> về văn hóa và lịch sử của một tổ chức;</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t xml:space="preserve">- </w:t>
      </w:r>
      <w:r w:rsidRPr="005E4E6E">
        <w:rPr>
          <w:rFonts w:cs="Times New Roman"/>
          <w:sz w:val="26"/>
          <w:szCs w:val="26"/>
        </w:rPr>
        <w:t>Năng lực: Muốn đạt được mục tiêu, cần quan tâm đến năng lực của các cá nhân và người quản lý trong đơn vị;</w:t>
      </w:r>
    </w:p>
    <w:p w:rsidR="00BE59D3" w:rsidRPr="005E4E6E" w:rsidRDefault="00BE59D3" w:rsidP="00BE59D3">
      <w:pPr>
        <w:pStyle w:val="ListParagraph"/>
        <w:spacing w:after="0" w:line="360" w:lineRule="auto"/>
        <w:ind w:left="0" w:firstLine="540"/>
        <w:jc w:val="both"/>
        <w:rPr>
          <w:rFonts w:cs="Times New Roman"/>
          <w:sz w:val="26"/>
          <w:szCs w:val="26"/>
        </w:rPr>
      </w:pPr>
      <w:r>
        <w:rPr>
          <w:rFonts w:cs="Times New Roman"/>
          <w:sz w:val="26"/>
          <w:szCs w:val="26"/>
        </w:rPr>
        <w:t xml:space="preserve">- </w:t>
      </w:r>
      <w:r w:rsidRPr="005E4E6E">
        <w:rPr>
          <w:rFonts w:cs="Times New Roman"/>
          <w:sz w:val="26"/>
          <w:szCs w:val="26"/>
        </w:rPr>
        <w:t>Giám sát và học hỏi: Tổ chức cần giám sát việc thực hiện mục tiêu của đơn vị.</w:t>
      </w:r>
    </w:p>
    <w:p w:rsidR="00BE59D3" w:rsidRPr="005E4E6E" w:rsidRDefault="00BE59D3" w:rsidP="00BE59D3">
      <w:pPr>
        <w:spacing w:after="0" w:line="360" w:lineRule="auto"/>
        <w:ind w:firstLine="540"/>
        <w:jc w:val="both"/>
        <w:rPr>
          <w:rFonts w:ascii="Times New Roman" w:hAnsi="Times New Roman" w:cs="Times New Roman"/>
          <w:sz w:val="26"/>
          <w:szCs w:val="26"/>
        </w:rPr>
      </w:pPr>
      <w:proofErr w:type="gramStart"/>
      <w:r w:rsidRPr="005E4E6E">
        <w:rPr>
          <w:rFonts w:ascii="Times New Roman" w:hAnsi="Times New Roman" w:cs="Times New Roman"/>
          <w:sz w:val="26"/>
          <w:szCs w:val="26"/>
        </w:rPr>
        <w:t>Các tiêu chí của CoCo có mối liên hệ như một vòng tròn khép kín phản ánh quá trình kiểm soát liên tục.</w:t>
      </w:r>
      <w:proofErr w:type="gramEnd"/>
      <w:r w:rsidRPr="005E4E6E">
        <w:rPr>
          <w:rFonts w:ascii="Times New Roman" w:hAnsi="Times New Roman" w:cs="Times New Roman"/>
          <w:sz w:val="26"/>
          <w:szCs w:val="26"/>
        </w:rPr>
        <w:t xml:space="preserve">  Giám sát và học hỏi giữ cho tổ chức luôn đi đúng mục tiêu đề ra và quá trình được lập lại </w:t>
      </w:r>
      <w:proofErr w:type="gramStart"/>
      <w:r w:rsidRPr="005E4E6E">
        <w:rPr>
          <w:rFonts w:ascii="Times New Roman" w:hAnsi="Times New Roman" w:cs="Times New Roman"/>
          <w:sz w:val="26"/>
          <w:szCs w:val="26"/>
        </w:rPr>
        <w:t>theo</w:t>
      </w:r>
      <w:proofErr w:type="gramEnd"/>
      <w:r w:rsidRPr="005E4E6E">
        <w:rPr>
          <w:rFonts w:ascii="Times New Roman" w:hAnsi="Times New Roman" w:cs="Times New Roman"/>
          <w:sz w:val="26"/>
          <w:szCs w:val="26"/>
        </w:rPr>
        <w:t xml:space="preserve"> vòng tròn khép kín.</w:t>
      </w:r>
    </w:p>
    <w:p w:rsidR="00BE59D3" w:rsidRPr="005E4E6E" w:rsidRDefault="00BE59D3" w:rsidP="00BE59D3">
      <w:pPr>
        <w:spacing w:after="0" w:line="360" w:lineRule="auto"/>
        <w:ind w:firstLine="540"/>
        <w:jc w:val="both"/>
        <w:rPr>
          <w:rFonts w:ascii="Times New Roman" w:hAnsi="Times New Roman" w:cs="Times New Roman"/>
          <w:sz w:val="26"/>
          <w:szCs w:val="26"/>
        </w:rPr>
      </w:pPr>
      <w:proofErr w:type="gramStart"/>
      <w:r w:rsidRPr="005E4E6E">
        <w:rPr>
          <w:rFonts w:ascii="Times New Roman" w:hAnsi="Times New Roman" w:cs="Times New Roman"/>
          <w:sz w:val="26"/>
          <w:szCs w:val="26"/>
        </w:rPr>
        <w:t>Đi sâu vào chi tiết, không có sự khác biệt lớn giữa các yếu tố của COSO với các tiêu chuẩn củ</w:t>
      </w:r>
      <w:r>
        <w:rPr>
          <w:rFonts w:ascii="Times New Roman" w:hAnsi="Times New Roman" w:cs="Times New Roman"/>
          <w:sz w:val="26"/>
          <w:szCs w:val="26"/>
        </w:rPr>
        <w:t>a CoCo</w:t>
      </w:r>
      <w:r w:rsidRPr="005E4E6E">
        <w:rPr>
          <w:rFonts w:ascii="Times New Roman" w:hAnsi="Times New Roman" w:cs="Times New Roman"/>
          <w:sz w:val="26"/>
          <w:szCs w:val="26"/>
        </w:rPr>
        <w:t>.</w:t>
      </w:r>
      <w:proofErr w:type="gramEnd"/>
      <w:r w:rsidRPr="005E4E6E">
        <w:rPr>
          <w:rFonts w:ascii="Times New Roman" w:hAnsi="Times New Roman" w:cs="Times New Roman"/>
          <w:sz w:val="26"/>
          <w:szCs w:val="26"/>
        </w:rPr>
        <w:t xml:space="preserve"> </w:t>
      </w:r>
      <w:proofErr w:type="gramStart"/>
      <w:r w:rsidRPr="005E4E6E">
        <w:rPr>
          <w:rFonts w:ascii="Times New Roman" w:hAnsi="Times New Roman" w:cs="Times New Roman"/>
          <w:sz w:val="26"/>
          <w:szCs w:val="26"/>
        </w:rPr>
        <w:t>So với báo cáo COSO thì các báo cáo của CoCo súc tích và chặt chẽ hơn, phản ánh đầy đủ các nhân tố trong tổ chức.</w:t>
      </w:r>
      <w:proofErr w:type="gramEnd"/>
      <w:r w:rsidRPr="005E4E6E">
        <w:rPr>
          <w:rFonts w:ascii="Times New Roman" w:hAnsi="Times New Roman" w:cs="Times New Roman"/>
          <w:sz w:val="26"/>
          <w:szCs w:val="26"/>
        </w:rPr>
        <w:t xml:space="preserve"> Khác biệt cơ bản giữa báo cáo COSO và CoCo là: COSO bỏ qua mục tiêu và hoạt động quản lý trong các nhân tố cấu thành kiếm soát nội bộ, ngược lại CoCo đưa thêm các nhân tố như thiết lập mục tiêu, lập kế hoạch chiến lược, quản lý rủi ro và khắc phục hậu quả như là một phần của kiểm soát</w:t>
      </w:r>
    </w:p>
    <w:p w:rsidR="00BE59D3" w:rsidRDefault="00BE59D3" w:rsidP="00BE59D3">
      <w:pPr>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3. </w:t>
      </w:r>
      <w:r w:rsidRPr="00524676">
        <w:rPr>
          <w:rFonts w:ascii="Times New Roman" w:hAnsi="Times New Roman" w:cs="Times New Roman"/>
          <w:b/>
          <w:sz w:val="26"/>
          <w:szCs w:val="26"/>
        </w:rPr>
        <w:t>Tiêu chuẩn MBNQA (The Malcoln Baldrige National Quality Award)</w:t>
      </w:r>
      <w:r>
        <w:rPr>
          <w:rFonts w:ascii="Times New Roman" w:hAnsi="Times New Roman" w:cs="Times New Roman"/>
          <w:b/>
          <w:sz w:val="26"/>
          <w:szCs w:val="26"/>
        </w:rPr>
        <w:t xml:space="preserve"> về KSNB</w:t>
      </w:r>
    </w:p>
    <w:p w:rsidR="00BE59D3" w:rsidRDefault="00BE59D3" w:rsidP="00BE59D3">
      <w:pPr>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Vào năm 1987, tại Hoa kỳ, Viện tiêu chuẩn và công nghệ quốc gia NIST (The National Institute of Standards and Technology) thiết lập giải thưởng chất lượng quốc gia có tên giải thưởng Malcolm Baldrige.</w:t>
      </w:r>
      <w:proofErr w:type="gramEnd"/>
      <w:r>
        <w:rPr>
          <w:rFonts w:ascii="Times New Roman" w:hAnsi="Times New Roman" w:cs="Times New Roman"/>
          <w:sz w:val="26"/>
          <w:szCs w:val="26"/>
        </w:rPr>
        <w:t xml:space="preserve"> Đây là giải thưởng dành cho các công ty quản lý tốt nhất để đạt được mục tiêu của đơn vị…Tiêu chuẩn dùng để là đánh giá là chất lượng của các tổ chức gần giống như KSNB.</w:t>
      </w:r>
    </w:p>
    <w:p w:rsidR="00BE59D3" w:rsidRDefault="00BE59D3" w:rsidP="00BE59D3">
      <w:pPr>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Tiêu chuẩn này đầu tiên được công bố vào 1988.</w:t>
      </w:r>
      <w:proofErr w:type="gramEnd"/>
      <w:r>
        <w:rPr>
          <w:rFonts w:ascii="Times New Roman" w:hAnsi="Times New Roman" w:cs="Times New Roman"/>
          <w:sz w:val="26"/>
          <w:szCs w:val="26"/>
        </w:rPr>
        <w:t xml:space="preserve"> Giải thưởng này được trao tặng cho những đơn vị nổi trội, đạt được thành tích trong lĩnh vực sản xuất, dịch vụ và doanh nghiệp nhỏ. </w:t>
      </w:r>
      <w:proofErr w:type="gramStart"/>
      <w:r>
        <w:rPr>
          <w:rFonts w:ascii="Times New Roman" w:hAnsi="Times New Roman" w:cs="Times New Roman"/>
          <w:sz w:val="26"/>
          <w:szCs w:val="26"/>
        </w:rPr>
        <w:t>Giải thưởng được bảo trợ bởi Sở thương mại và được quản lý bởi NIST.</w:t>
      </w:r>
      <w:proofErr w:type="gramEnd"/>
      <w:r>
        <w:rPr>
          <w:rFonts w:ascii="Times New Roman" w:hAnsi="Times New Roman" w:cs="Times New Roman"/>
          <w:sz w:val="26"/>
          <w:szCs w:val="26"/>
        </w:rPr>
        <w:t xml:space="preserve"> Nguồn tài trợ là từ các tổ chức tư nhân, các nhà tài trợ là từ các nhà lãnh đạo xuất sắc của các công ty Hoa Kỳ. Ban giám sát được chỉ định bởi Bộ Thương mại để đánh giá tất cả các khía cạnh của chương trình, bao gồm xem xét các ứng cử viên được trao giải có thực hiện xuất sắc các tiêu chí của Baldrige.</w:t>
      </w:r>
    </w:p>
    <w:p w:rsidR="00BE59D3" w:rsidRDefault="00BE59D3" w:rsidP="00BE59D3">
      <w:pPr>
        <w:spacing w:after="0" w:line="36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Thủ tục để được giải thưởng là các ứng cử viên phải gởi thông tin và dữ liệu chứng minh hiệu quả và kết quả cải tiến quy trình.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Hiệu quả được đánh giá thông qua các tiêu chí của NIST.</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Những năm qua, NIST đã chỉnh sửa và cải tiến các tiêu chí của giải </w:t>
      </w:r>
      <w:r>
        <w:rPr>
          <w:rFonts w:ascii="Times New Roman" w:hAnsi="Times New Roman" w:cs="Times New Roman"/>
          <w:sz w:val="26"/>
          <w:szCs w:val="26"/>
        </w:rPr>
        <w:lastRenderedPageBreak/>
        <w:t>thưởng.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Thời gian đầu, các tiêu chí đặt trọng tâm hướng đến sự hài long của khách hàng.</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Nói cách khác, là đặt trọng tâm vào chất lượng quy trình hơn là kết quả các quy trình.</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 xml:space="preserve">Sau một thời gian, các tiêu chí đã thay đổi, tập trung nhiều hơn về kết quả kinh doanh </w:t>
      </w:r>
      <w:r w:rsidRPr="00F300C9">
        <w:rPr>
          <w:rFonts w:ascii="Times New Roman" w:hAnsi="Times New Roman" w:cs="Times New Roman"/>
          <w:b/>
          <w:sz w:val="26"/>
          <w:szCs w:val="26"/>
        </w:rPr>
        <w:t>hướng đến sự cân bằng giữa sự hài lòng của khách hàng và hiệu quả hoạt động của doanh nghiệp</w:t>
      </w:r>
      <w:r>
        <w:rPr>
          <w:rFonts w:ascii="Times New Roman" w:hAnsi="Times New Roman" w:cs="Times New Roman"/>
          <w:sz w:val="26"/>
          <w:szCs w:val="26"/>
        </w:rPr>
        <w:t>.</w:t>
      </w:r>
      <w:proofErr w:type="gramEnd"/>
      <w:r>
        <w:rPr>
          <w:rFonts w:ascii="Times New Roman" w:hAnsi="Times New Roman" w:cs="Times New Roman"/>
          <w:sz w:val="26"/>
          <w:szCs w:val="26"/>
        </w:rPr>
        <w:t xml:space="preserve"> Trong hệ thống tính điểm sử dụng để đánh giá các ứng cử viên, các tiêu chí được cụ thể bằng các khoản mục tính điểm và số điểm cho từng mục thay đổi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thời gian. Vào 1997, điểm cho các mục được trình bày ở bảng bên dưới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tiêu chí (xem Bảng 1.1). Nhiều công ty Mỹ đã sử dụng tiêu chí này như chương trình tự đánh giá nội bộ nhằm chuẩn hóa tính hiệu quả của việc thực hiên các sáng kiến.</w:t>
      </w:r>
    </w:p>
    <w:p w:rsidR="00BE59D3" w:rsidRDefault="00BE59D3" w:rsidP="00BE59D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Tiêu chí của MBNQA được cụ thể như sau:</w:t>
      </w:r>
    </w:p>
    <w:p w:rsidR="00BE59D3" w:rsidRDefault="00BE59D3" w:rsidP="00BE59D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1. Có sự cam kết nhất quán của nhà lãnh đạo về mục tiêu chiến lược;</w:t>
      </w:r>
    </w:p>
    <w:p w:rsidR="00BE59D3" w:rsidRPr="00400A01" w:rsidRDefault="00BE59D3" w:rsidP="00BE59D3">
      <w:pPr>
        <w:pStyle w:val="ListParagraph"/>
        <w:spacing w:after="0" w:line="360" w:lineRule="auto"/>
        <w:ind w:left="0" w:firstLine="540"/>
        <w:jc w:val="both"/>
        <w:rPr>
          <w:rFonts w:cs="Times New Roman"/>
          <w:spacing w:val="-6"/>
          <w:sz w:val="26"/>
          <w:szCs w:val="26"/>
        </w:rPr>
      </w:pPr>
      <w:r w:rsidRPr="00400A01">
        <w:rPr>
          <w:rFonts w:cs="Times New Roman"/>
          <w:spacing w:val="-6"/>
          <w:sz w:val="26"/>
          <w:szCs w:val="26"/>
        </w:rPr>
        <w:t>2.  Có các quy trình nhằm phát triển và triển khai chiến lược thành kế hoạch hành động;</w:t>
      </w:r>
    </w:p>
    <w:p w:rsidR="00BE59D3" w:rsidRPr="005E4E6E" w:rsidRDefault="00BE59D3" w:rsidP="00BE59D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3. </w:t>
      </w:r>
      <w:r w:rsidRPr="005E4E6E">
        <w:rPr>
          <w:rFonts w:ascii="Times New Roman" w:hAnsi="Times New Roman" w:cs="Times New Roman"/>
          <w:sz w:val="26"/>
          <w:szCs w:val="26"/>
        </w:rPr>
        <w:t>Phương pháp luận làm việc là xác định yêu cầu và kỳ vọng của khách hàng, đồng thời có các cách thức đo lường sự hài lòng của khách hàng;</w:t>
      </w:r>
    </w:p>
    <w:p w:rsidR="00BE59D3" w:rsidRPr="005E4E6E" w:rsidRDefault="00BE59D3" w:rsidP="00BE59D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4. </w:t>
      </w:r>
      <w:r w:rsidRPr="005E4E6E">
        <w:rPr>
          <w:rFonts w:ascii="Times New Roman" w:hAnsi="Times New Roman" w:cs="Times New Roman"/>
          <w:sz w:val="26"/>
          <w:szCs w:val="26"/>
        </w:rPr>
        <w:t xml:space="preserve">Sử dụng rộng rãi thông tin và dữ </w:t>
      </w:r>
      <w:proofErr w:type="gramStart"/>
      <w:r w:rsidRPr="005E4E6E">
        <w:rPr>
          <w:rFonts w:ascii="Times New Roman" w:hAnsi="Times New Roman" w:cs="Times New Roman"/>
          <w:sz w:val="26"/>
          <w:szCs w:val="26"/>
        </w:rPr>
        <w:t>liệu ,</w:t>
      </w:r>
      <w:proofErr w:type="gramEnd"/>
      <w:r w:rsidRPr="005E4E6E">
        <w:rPr>
          <w:rFonts w:ascii="Times New Roman" w:hAnsi="Times New Roman" w:cs="Times New Roman"/>
          <w:sz w:val="26"/>
          <w:szCs w:val="26"/>
        </w:rPr>
        <w:t xml:space="preserve"> kể cả tài chính và phân tích tài chính để phân tích hiệu quả;</w:t>
      </w:r>
    </w:p>
    <w:p w:rsidR="00BE59D3" w:rsidRPr="005E4E6E" w:rsidRDefault="00BE59D3" w:rsidP="00BE59D3">
      <w:pPr>
        <w:spacing w:after="0"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w:t>
      </w:r>
      <w:r w:rsidRPr="005E4E6E">
        <w:rPr>
          <w:rFonts w:ascii="Times New Roman" w:hAnsi="Times New Roman" w:cs="Times New Roman"/>
          <w:sz w:val="26"/>
          <w:szCs w:val="26"/>
        </w:rPr>
        <w:t>Các kỹ thuật sử dụng và phát triển nguồn nhân lực;</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sz w:val="26"/>
          <w:szCs w:val="26"/>
        </w:rPr>
        <w:t>6</w:t>
      </w:r>
      <w:r>
        <w:rPr>
          <w:rFonts w:ascii="Times New Roman" w:hAnsi="Times New Roman" w:cs="Times New Roman"/>
          <w:sz w:val="26"/>
          <w:szCs w:val="26"/>
        </w:rPr>
        <w:t>.</w:t>
      </w:r>
      <w:r w:rsidRPr="005E4E6E">
        <w:rPr>
          <w:rFonts w:ascii="Times New Roman" w:hAnsi="Times New Roman" w:cs="Times New Roman"/>
          <w:sz w:val="26"/>
          <w:szCs w:val="26"/>
        </w:rPr>
        <w:t xml:space="preserve"> Xây dựng cách thức trong đó các quy trình chủ chốt được thiết kế, quản trị và hoàn thiện nhằm đạt được kết quả tốt hơn;</w:t>
      </w:r>
    </w:p>
    <w:p w:rsidR="00BE59D3" w:rsidRPr="005E4E6E" w:rsidRDefault="00BE59D3" w:rsidP="00BE59D3">
      <w:pPr>
        <w:spacing w:after="0" w:line="360" w:lineRule="auto"/>
        <w:ind w:firstLine="540"/>
        <w:jc w:val="both"/>
        <w:rPr>
          <w:rFonts w:ascii="Times New Roman" w:hAnsi="Times New Roman" w:cs="Times New Roman"/>
          <w:sz w:val="26"/>
          <w:szCs w:val="26"/>
        </w:rPr>
      </w:pPr>
      <w:r w:rsidRPr="005E4E6E">
        <w:rPr>
          <w:rFonts w:ascii="Times New Roman" w:hAnsi="Times New Roman" w:cs="Times New Roman"/>
          <w:sz w:val="26"/>
          <w:szCs w:val="26"/>
        </w:rPr>
        <w:t>7</w:t>
      </w:r>
      <w:r>
        <w:rPr>
          <w:rFonts w:ascii="Times New Roman" w:hAnsi="Times New Roman" w:cs="Times New Roman"/>
          <w:sz w:val="26"/>
          <w:szCs w:val="26"/>
        </w:rPr>
        <w:t>.</w:t>
      </w:r>
      <w:r w:rsidRPr="005E4E6E">
        <w:rPr>
          <w:rFonts w:ascii="Times New Roman" w:hAnsi="Times New Roman" w:cs="Times New Roman"/>
          <w:sz w:val="26"/>
          <w:szCs w:val="26"/>
        </w:rPr>
        <w:t xml:space="preserve"> Kết quả đạt được trong các lĩnh vực kinh doanh tài chính then chốt, chính là sự hài lòng của khách hàng, gia tăng thị phần, sử dụng tối ưu nguồn nhân lực, quan hệ với nhà cung cấp, đối tác và hoạt động hiệu quả.</w:t>
      </w:r>
    </w:p>
    <w:p w:rsidR="00BE59D3" w:rsidRPr="005E4E6E" w:rsidRDefault="00BE59D3" w:rsidP="00BE59D3">
      <w:pPr>
        <w:spacing w:after="0" w:line="360" w:lineRule="auto"/>
        <w:ind w:firstLine="720"/>
        <w:jc w:val="both"/>
        <w:rPr>
          <w:rFonts w:ascii="Times New Roman" w:hAnsi="Times New Roman" w:cs="Times New Roman"/>
          <w:sz w:val="26"/>
          <w:szCs w:val="26"/>
        </w:rPr>
      </w:pPr>
      <w:r w:rsidRPr="005E4E6E">
        <w:rPr>
          <w:rFonts w:ascii="Times New Roman" w:hAnsi="Times New Roman" w:cs="Times New Roman"/>
          <w:sz w:val="26"/>
          <w:szCs w:val="26"/>
        </w:rPr>
        <w:t xml:space="preserve">Các tiêu chí trên đã giúp doanh nghiệp giảm thiểu rủi ro trong quá trình quản lí giúp đo lường các chỉ số, hiệu quả công việc, thời gian </w:t>
      </w:r>
      <w:proofErr w:type="gramStart"/>
      <w:r w:rsidRPr="005E4E6E">
        <w:rPr>
          <w:rFonts w:ascii="Times New Roman" w:hAnsi="Times New Roman" w:cs="Times New Roman"/>
          <w:sz w:val="26"/>
          <w:szCs w:val="26"/>
        </w:rPr>
        <w:t>chu</w:t>
      </w:r>
      <w:proofErr w:type="gramEnd"/>
      <w:r w:rsidRPr="005E4E6E">
        <w:rPr>
          <w:rFonts w:ascii="Times New Roman" w:hAnsi="Times New Roman" w:cs="Times New Roman"/>
          <w:sz w:val="26"/>
          <w:szCs w:val="26"/>
        </w:rPr>
        <w:t xml:space="preserve"> kỳ, kế hoạch thực hiện, năng suất, hiệu suất kết quả làm việc sự quan tâm của khách hàng. </w:t>
      </w:r>
      <w:proofErr w:type="gramStart"/>
      <w:r w:rsidRPr="005E4E6E">
        <w:rPr>
          <w:rFonts w:ascii="Times New Roman" w:hAnsi="Times New Roman" w:cs="Times New Roman"/>
          <w:sz w:val="26"/>
          <w:szCs w:val="26"/>
        </w:rPr>
        <w:t>Các tiêu chí rất linh hoạt có thể sử dụng cho các doanh nghiệp nhỏ, lớn, bộ phân kinh doanh, các phòng ban của hầu hết các đơn vị tổ chức hoặc đơn vị kết hợp.</w:t>
      </w:r>
      <w:proofErr w:type="gramEnd"/>
      <w:r w:rsidRPr="005E4E6E">
        <w:rPr>
          <w:rFonts w:ascii="Times New Roman" w:hAnsi="Times New Roman" w:cs="Times New Roman"/>
          <w:sz w:val="26"/>
          <w:szCs w:val="26"/>
        </w:rPr>
        <w:t xml:space="preserve"> </w:t>
      </w:r>
      <w:proofErr w:type="gramStart"/>
      <w:r w:rsidRPr="005E4E6E">
        <w:rPr>
          <w:rFonts w:ascii="Times New Roman" w:hAnsi="Times New Roman" w:cs="Times New Roman"/>
          <w:sz w:val="26"/>
          <w:szCs w:val="26"/>
        </w:rPr>
        <w:t>Các tiêu chí này cũng là cơ sở để xây dựng hệ thống KSNB trong doanh nghiệp.</w:t>
      </w:r>
      <w:proofErr w:type="gramEnd"/>
    </w:p>
    <w:p w:rsidR="00BE59D3" w:rsidRPr="005E4E6E" w:rsidRDefault="00BE59D3" w:rsidP="00BE59D3">
      <w:pPr>
        <w:spacing w:after="0" w:line="360" w:lineRule="auto"/>
        <w:jc w:val="center"/>
        <w:rPr>
          <w:rFonts w:ascii="Times New Roman" w:hAnsi="Times New Roman" w:cs="Times New Roman"/>
          <w:b/>
          <w:sz w:val="26"/>
          <w:szCs w:val="26"/>
        </w:rPr>
      </w:pPr>
      <w:r w:rsidRPr="005E4E6E">
        <w:rPr>
          <w:rFonts w:ascii="Times New Roman" w:hAnsi="Times New Roman" w:cs="Times New Roman"/>
          <w:b/>
          <w:sz w:val="26"/>
          <w:szCs w:val="26"/>
        </w:rPr>
        <w:t>Bảng 1.</w:t>
      </w:r>
      <w:r>
        <w:rPr>
          <w:rFonts w:ascii="Times New Roman" w:hAnsi="Times New Roman" w:cs="Times New Roman"/>
          <w:b/>
          <w:sz w:val="26"/>
          <w:szCs w:val="26"/>
        </w:rPr>
        <w:t>1</w:t>
      </w:r>
      <w:r w:rsidRPr="005E4E6E">
        <w:rPr>
          <w:rFonts w:ascii="Times New Roman" w:hAnsi="Times New Roman" w:cs="Times New Roman"/>
          <w:b/>
          <w:sz w:val="26"/>
          <w:szCs w:val="26"/>
        </w:rPr>
        <w:t xml:space="preserve"> Các tiêu chí cho giải Badrige_Các khoản mục được niêm </w:t>
      </w:r>
      <w:proofErr w:type="gramStart"/>
      <w:r w:rsidRPr="005E4E6E">
        <w:rPr>
          <w:rFonts w:ascii="Times New Roman" w:hAnsi="Times New Roman" w:cs="Times New Roman"/>
          <w:b/>
          <w:sz w:val="26"/>
          <w:szCs w:val="26"/>
        </w:rPr>
        <w:t>yết  năm</w:t>
      </w:r>
      <w:proofErr w:type="gramEnd"/>
      <w:r w:rsidRPr="005E4E6E">
        <w:rPr>
          <w:rFonts w:ascii="Times New Roman" w:hAnsi="Times New Roman" w:cs="Times New Roman"/>
          <w:b/>
          <w:sz w:val="26"/>
          <w:szCs w:val="26"/>
        </w:rPr>
        <w:t xml:space="preserve"> 1997</w:t>
      </w:r>
    </w:p>
    <w:tbl>
      <w:tblPr>
        <w:tblStyle w:val="TableGrid"/>
        <w:tblW w:w="10008" w:type="dxa"/>
        <w:tblLook w:val="04A0"/>
      </w:tblPr>
      <w:tblGrid>
        <w:gridCol w:w="7488"/>
        <w:gridCol w:w="2520"/>
      </w:tblGrid>
      <w:tr w:rsidR="00BE59D3" w:rsidRPr="005E4E6E" w:rsidTr="0000371B">
        <w:tc>
          <w:tcPr>
            <w:tcW w:w="7488" w:type="dxa"/>
            <w:vAlign w:val="center"/>
          </w:tcPr>
          <w:p w:rsidR="00BE59D3" w:rsidRPr="005E4E6E" w:rsidRDefault="00BE59D3" w:rsidP="0000371B">
            <w:pPr>
              <w:spacing w:line="360" w:lineRule="auto"/>
              <w:jc w:val="center"/>
              <w:rPr>
                <w:rFonts w:ascii="Times New Roman" w:hAnsi="Times New Roman" w:cs="Times New Roman"/>
                <w:b/>
                <w:sz w:val="26"/>
                <w:szCs w:val="26"/>
              </w:rPr>
            </w:pPr>
            <w:r w:rsidRPr="005E4E6E">
              <w:rPr>
                <w:rFonts w:ascii="Times New Roman" w:hAnsi="Times New Roman" w:cs="Times New Roman"/>
                <w:b/>
                <w:sz w:val="26"/>
                <w:szCs w:val="26"/>
              </w:rPr>
              <w:lastRenderedPageBreak/>
              <w:t>Các khoản mục</w:t>
            </w:r>
          </w:p>
        </w:tc>
        <w:tc>
          <w:tcPr>
            <w:tcW w:w="2520" w:type="dxa"/>
            <w:vAlign w:val="center"/>
          </w:tcPr>
          <w:p w:rsidR="00BE59D3" w:rsidRPr="005E4E6E" w:rsidRDefault="00BE59D3" w:rsidP="0000371B">
            <w:pPr>
              <w:spacing w:line="360" w:lineRule="auto"/>
              <w:jc w:val="center"/>
              <w:rPr>
                <w:rFonts w:ascii="Times New Roman" w:hAnsi="Times New Roman" w:cs="Times New Roman"/>
                <w:b/>
                <w:sz w:val="26"/>
                <w:szCs w:val="26"/>
              </w:rPr>
            </w:pPr>
            <w:r w:rsidRPr="005E4E6E">
              <w:rPr>
                <w:rFonts w:ascii="Times New Roman" w:hAnsi="Times New Roman" w:cs="Times New Roman"/>
                <w:b/>
                <w:sz w:val="26"/>
                <w:szCs w:val="26"/>
              </w:rPr>
              <w:t>Điểm số</w:t>
            </w:r>
          </w:p>
        </w:tc>
      </w:tr>
      <w:tr w:rsidR="00BE59D3" w:rsidRPr="005E4E6E" w:rsidTr="0000371B">
        <w:trPr>
          <w:trHeight w:val="359"/>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1. </w:t>
            </w:r>
            <w:r w:rsidRPr="005E4E6E">
              <w:rPr>
                <w:rFonts w:cs="Times New Roman"/>
                <w:sz w:val="26"/>
                <w:szCs w:val="26"/>
              </w:rPr>
              <w:t>Lãnh đạo</w:t>
            </w:r>
          </w:p>
        </w:tc>
        <w:tc>
          <w:tcPr>
            <w:tcW w:w="2520" w:type="dxa"/>
            <w:vAlign w:val="center"/>
          </w:tcPr>
          <w:p w:rsidR="00BE59D3" w:rsidRPr="005E4E6E" w:rsidRDefault="00BE59D3" w:rsidP="0000371B">
            <w:pPr>
              <w:spacing w:line="360" w:lineRule="auto"/>
              <w:jc w:val="right"/>
              <w:rPr>
                <w:rFonts w:ascii="Times New Roman" w:hAnsi="Times New Roman" w:cs="Times New Roman"/>
                <w:sz w:val="26"/>
                <w:szCs w:val="26"/>
              </w:rPr>
            </w:pPr>
            <w:r w:rsidRPr="005E4E6E">
              <w:rPr>
                <w:rFonts w:ascii="Times New Roman" w:hAnsi="Times New Roman" w:cs="Times New Roman"/>
                <w:sz w:val="26"/>
                <w:szCs w:val="26"/>
              </w:rPr>
              <w:t>110</w:t>
            </w:r>
          </w:p>
        </w:tc>
      </w:tr>
      <w:tr w:rsidR="00BE59D3" w:rsidRPr="005E4E6E" w:rsidTr="0000371B">
        <w:trPr>
          <w:trHeight w:val="350"/>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1.1. </w:t>
            </w:r>
            <w:r w:rsidRPr="005E4E6E">
              <w:rPr>
                <w:rFonts w:cs="Times New Roman"/>
                <w:sz w:val="26"/>
                <w:szCs w:val="26"/>
              </w:rPr>
              <w:t>Hệ thống lãnh đạo</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80</w:t>
            </w:r>
          </w:p>
        </w:tc>
      </w:tr>
      <w:tr w:rsidR="00BE59D3" w:rsidRPr="005E4E6E" w:rsidTr="0000371B">
        <w:trPr>
          <w:trHeight w:val="341"/>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1.2. </w:t>
            </w:r>
            <w:r w:rsidRPr="005E4E6E">
              <w:rPr>
                <w:rFonts w:cs="Times New Roman"/>
                <w:sz w:val="26"/>
                <w:szCs w:val="26"/>
              </w:rPr>
              <w:t>Quyền và nghĩa vụ của công ty</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30</w:t>
            </w:r>
          </w:p>
        </w:tc>
      </w:tr>
      <w:tr w:rsidR="00BE59D3" w:rsidRPr="005E4E6E" w:rsidTr="0000371B">
        <w:trPr>
          <w:trHeight w:val="350"/>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2. </w:t>
            </w:r>
            <w:r w:rsidRPr="005E4E6E">
              <w:rPr>
                <w:rFonts w:cs="Times New Roman"/>
                <w:sz w:val="26"/>
                <w:szCs w:val="26"/>
              </w:rPr>
              <w:t>Kế hoạch chiến lược</w:t>
            </w:r>
          </w:p>
        </w:tc>
        <w:tc>
          <w:tcPr>
            <w:tcW w:w="2520" w:type="dxa"/>
            <w:vAlign w:val="center"/>
          </w:tcPr>
          <w:p w:rsidR="00BE59D3" w:rsidRPr="005E4E6E" w:rsidRDefault="00BE59D3" w:rsidP="0000371B">
            <w:pPr>
              <w:spacing w:line="360" w:lineRule="auto"/>
              <w:jc w:val="right"/>
              <w:rPr>
                <w:rFonts w:ascii="Times New Roman" w:hAnsi="Times New Roman" w:cs="Times New Roman"/>
                <w:sz w:val="26"/>
                <w:szCs w:val="26"/>
              </w:rPr>
            </w:pPr>
            <w:r w:rsidRPr="005E4E6E">
              <w:rPr>
                <w:rFonts w:ascii="Times New Roman" w:hAnsi="Times New Roman" w:cs="Times New Roman"/>
                <w:sz w:val="26"/>
                <w:szCs w:val="26"/>
              </w:rPr>
              <w:t>80</w:t>
            </w:r>
          </w:p>
        </w:tc>
      </w:tr>
      <w:tr w:rsidR="00BE59D3" w:rsidRPr="005E4E6E" w:rsidTr="0000371B">
        <w:trPr>
          <w:trHeight w:val="359"/>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2.1. </w:t>
            </w:r>
            <w:r w:rsidRPr="005E4E6E">
              <w:rPr>
                <w:rFonts w:cs="Times New Roman"/>
                <w:sz w:val="26"/>
                <w:szCs w:val="26"/>
              </w:rPr>
              <w:t>Quy trình chiến lược phát triển</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40</w:t>
            </w:r>
          </w:p>
        </w:tc>
      </w:tr>
      <w:tr w:rsidR="00BE59D3" w:rsidRPr="005E4E6E" w:rsidTr="0000371B">
        <w:trPr>
          <w:trHeight w:val="350"/>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2.2. </w:t>
            </w:r>
            <w:r w:rsidRPr="005E4E6E">
              <w:rPr>
                <w:rFonts w:cs="Times New Roman"/>
                <w:sz w:val="26"/>
                <w:szCs w:val="26"/>
              </w:rPr>
              <w:t>Chiến lược công ty</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40</w:t>
            </w:r>
          </w:p>
        </w:tc>
      </w:tr>
      <w:tr w:rsidR="00BE59D3" w:rsidRPr="005E4E6E" w:rsidTr="0000371B">
        <w:trPr>
          <w:trHeight w:val="341"/>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3. </w:t>
            </w:r>
            <w:r w:rsidRPr="005E4E6E">
              <w:rPr>
                <w:rFonts w:cs="Times New Roman"/>
                <w:sz w:val="26"/>
                <w:szCs w:val="26"/>
              </w:rPr>
              <w:t>Sự quan tâm của thị trường và khách hàng</w:t>
            </w:r>
          </w:p>
        </w:tc>
        <w:tc>
          <w:tcPr>
            <w:tcW w:w="2520" w:type="dxa"/>
            <w:vAlign w:val="center"/>
          </w:tcPr>
          <w:p w:rsidR="00BE59D3" w:rsidRPr="005E4E6E" w:rsidRDefault="00BE59D3" w:rsidP="0000371B">
            <w:pPr>
              <w:spacing w:line="360" w:lineRule="auto"/>
              <w:jc w:val="right"/>
              <w:rPr>
                <w:rFonts w:ascii="Times New Roman" w:hAnsi="Times New Roman" w:cs="Times New Roman"/>
                <w:sz w:val="26"/>
                <w:szCs w:val="26"/>
              </w:rPr>
            </w:pPr>
            <w:r w:rsidRPr="005E4E6E">
              <w:rPr>
                <w:rFonts w:ascii="Times New Roman" w:hAnsi="Times New Roman" w:cs="Times New Roman"/>
                <w:sz w:val="26"/>
                <w:szCs w:val="26"/>
              </w:rPr>
              <w:t>80</w:t>
            </w:r>
          </w:p>
        </w:tc>
      </w:tr>
      <w:tr w:rsidR="00BE59D3" w:rsidRPr="005E4E6E" w:rsidTr="0000371B">
        <w:trPr>
          <w:trHeight w:val="350"/>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3.1. </w:t>
            </w:r>
            <w:r w:rsidRPr="005E4E6E">
              <w:rPr>
                <w:rFonts w:cs="Times New Roman"/>
                <w:sz w:val="26"/>
                <w:szCs w:val="26"/>
              </w:rPr>
              <w:t>Sự hiểu biết của thị trường và khách hàng</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40</w:t>
            </w:r>
          </w:p>
        </w:tc>
      </w:tr>
      <w:tr w:rsidR="00BE59D3" w:rsidRPr="005E4E6E" w:rsidTr="0000371B">
        <w:trPr>
          <w:trHeight w:val="359"/>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3.2. </w:t>
            </w:r>
            <w:r w:rsidRPr="005E4E6E">
              <w:rPr>
                <w:rFonts w:cs="Times New Roman"/>
                <w:sz w:val="26"/>
                <w:szCs w:val="26"/>
              </w:rPr>
              <w:t>Tăng cường mối quan hệ đối với sự hài lòng của khách hàng</w:t>
            </w:r>
          </w:p>
        </w:tc>
        <w:tc>
          <w:tcPr>
            <w:tcW w:w="2520" w:type="dxa"/>
            <w:vAlign w:val="center"/>
          </w:tcPr>
          <w:p w:rsidR="00BE59D3" w:rsidRPr="005E4E6E" w:rsidRDefault="00BE59D3" w:rsidP="0000371B">
            <w:pPr>
              <w:spacing w:line="360" w:lineRule="auto"/>
              <w:rPr>
                <w:rFonts w:ascii="Times New Roman" w:hAnsi="Times New Roman" w:cs="Times New Roman"/>
                <w:sz w:val="26"/>
                <w:szCs w:val="26"/>
              </w:rPr>
            </w:pPr>
            <w:r w:rsidRPr="005E4E6E">
              <w:rPr>
                <w:rFonts w:ascii="Times New Roman" w:hAnsi="Times New Roman" w:cs="Times New Roman"/>
                <w:sz w:val="26"/>
                <w:szCs w:val="26"/>
              </w:rPr>
              <w:t>40</w:t>
            </w:r>
          </w:p>
        </w:tc>
      </w:tr>
      <w:tr w:rsidR="00BE59D3" w:rsidRPr="005E4E6E" w:rsidTr="0000371B">
        <w:trPr>
          <w:trHeight w:val="377"/>
        </w:trPr>
        <w:tc>
          <w:tcPr>
            <w:tcW w:w="7488" w:type="dxa"/>
            <w:vAlign w:val="center"/>
          </w:tcPr>
          <w:p w:rsidR="00BE59D3" w:rsidRPr="005E4E6E" w:rsidRDefault="00BE59D3" w:rsidP="0000371B">
            <w:pPr>
              <w:pStyle w:val="ListParagraph"/>
              <w:spacing w:line="360" w:lineRule="auto"/>
              <w:ind w:left="0"/>
              <w:rPr>
                <w:rFonts w:cs="Times New Roman"/>
                <w:sz w:val="26"/>
                <w:szCs w:val="26"/>
              </w:rPr>
            </w:pPr>
            <w:r>
              <w:rPr>
                <w:rFonts w:cs="Times New Roman"/>
                <w:sz w:val="26"/>
                <w:szCs w:val="26"/>
              </w:rPr>
              <w:t xml:space="preserve">4. </w:t>
            </w:r>
            <w:r w:rsidRPr="005E4E6E">
              <w:rPr>
                <w:rFonts w:cs="Times New Roman"/>
                <w:sz w:val="26"/>
                <w:szCs w:val="26"/>
              </w:rPr>
              <w:t>Phân tích thông tin</w:t>
            </w:r>
          </w:p>
        </w:tc>
        <w:tc>
          <w:tcPr>
            <w:tcW w:w="2520" w:type="dxa"/>
            <w:vAlign w:val="center"/>
          </w:tcPr>
          <w:p w:rsidR="00BE59D3" w:rsidRPr="005E4E6E" w:rsidRDefault="00BE59D3" w:rsidP="0000371B">
            <w:pPr>
              <w:spacing w:line="360" w:lineRule="auto"/>
              <w:jc w:val="right"/>
              <w:rPr>
                <w:rFonts w:ascii="Times New Roman" w:hAnsi="Times New Roman" w:cs="Times New Roman"/>
                <w:sz w:val="26"/>
                <w:szCs w:val="26"/>
              </w:rPr>
            </w:pPr>
            <w:r w:rsidRPr="005E4E6E">
              <w:rPr>
                <w:rFonts w:ascii="Times New Roman" w:hAnsi="Times New Roman" w:cs="Times New Roman"/>
                <w:sz w:val="26"/>
                <w:szCs w:val="26"/>
              </w:rPr>
              <w:t>80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13"/>
        <w:gridCol w:w="2073"/>
      </w:tblGrid>
      <w:tr w:rsidR="00BE59D3" w:rsidTr="0000371B">
        <w:tc>
          <w:tcPr>
            <w:tcW w:w="7413" w:type="dxa"/>
            <w:tcBorders>
              <w:top w:val="single" w:sz="4" w:space="0" w:color="auto"/>
              <w:left w:val="single" w:sz="4" w:space="0" w:color="auto"/>
              <w:right w:val="single" w:sz="4" w:space="0" w:color="auto"/>
            </w:tcBorders>
            <w:shd w:val="clear" w:color="auto" w:fill="auto"/>
          </w:tcPr>
          <w:p w:rsidR="00BE59D3" w:rsidRPr="000B7E67" w:rsidRDefault="00BE59D3" w:rsidP="0000371B">
            <w:pPr>
              <w:spacing w:after="0" w:line="360" w:lineRule="auto"/>
              <w:jc w:val="center"/>
              <w:rPr>
                <w:rFonts w:ascii="Times New Roman" w:hAnsi="Times New Roman"/>
                <w:b/>
                <w:sz w:val="26"/>
                <w:szCs w:val="26"/>
              </w:rPr>
            </w:pPr>
            <w:r w:rsidRPr="000B7E67">
              <w:rPr>
                <w:rFonts w:ascii="Times New Roman" w:hAnsi="Times New Roman"/>
                <w:b/>
                <w:sz w:val="26"/>
                <w:szCs w:val="26"/>
              </w:rPr>
              <w:t>Các khoản mục</w:t>
            </w:r>
          </w:p>
        </w:tc>
        <w:tc>
          <w:tcPr>
            <w:tcW w:w="2073" w:type="dxa"/>
            <w:tcBorders>
              <w:top w:val="single" w:sz="4" w:space="0" w:color="auto"/>
              <w:left w:val="single" w:sz="4" w:space="0" w:color="auto"/>
              <w:right w:val="single" w:sz="4" w:space="0" w:color="auto"/>
            </w:tcBorders>
            <w:shd w:val="clear" w:color="auto" w:fill="auto"/>
          </w:tcPr>
          <w:p w:rsidR="00BE59D3" w:rsidRPr="000B7E67" w:rsidRDefault="00BE59D3" w:rsidP="0000371B">
            <w:pPr>
              <w:spacing w:after="0" w:line="360" w:lineRule="auto"/>
              <w:jc w:val="center"/>
              <w:rPr>
                <w:rFonts w:ascii="Times New Roman" w:hAnsi="Times New Roman"/>
                <w:b/>
                <w:sz w:val="26"/>
                <w:szCs w:val="26"/>
              </w:rPr>
            </w:pPr>
            <w:r w:rsidRPr="000B7E67">
              <w:rPr>
                <w:rFonts w:ascii="Times New Roman" w:hAnsi="Times New Roman"/>
                <w:b/>
                <w:sz w:val="26"/>
                <w:szCs w:val="26"/>
              </w:rPr>
              <w:t>Điểm số</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4.1</w:t>
            </w:r>
            <w:r>
              <w:rPr>
                <w:rFonts w:ascii="Times New Roman" w:hAnsi="Times New Roman"/>
                <w:sz w:val="26"/>
                <w:szCs w:val="26"/>
              </w:rPr>
              <w:t>.</w:t>
            </w:r>
            <w:r w:rsidRPr="000B7E67">
              <w:rPr>
                <w:rFonts w:ascii="Times New Roman" w:hAnsi="Times New Roman"/>
                <w:sz w:val="26"/>
                <w:szCs w:val="26"/>
              </w:rPr>
              <w:t xml:space="preserve"> Lựa chọn và sử dụng thông tin dữ liệu</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25</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4.2</w:t>
            </w:r>
            <w:r>
              <w:rPr>
                <w:rFonts w:ascii="Times New Roman" w:hAnsi="Times New Roman"/>
                <w:sz w:val="26"/>
                <w:szCs w:val="26"/>
              </w:rPr>
              <w:t>.</w:t>
            </w:r>
            <w:r w:rsidRPr="000B7E67">
              <w:rPr>
                <w:rFonts w:ascii="Times New Roman" w:hAnsi="Times New Roman"/>
                <w:sz w:val="26"/>
                <w:szCs w:val="26"/>
              </w:rPr>
              <w:t xml:space="preserve"> Lựa chọn và sử dụng thông tin dữ liệu so sánh</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15</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4.3</w:t>
            </w:r>
            <w:r>
              <w:rPr>
                <w:rFonts w:ascii="Times New Roman" w:hAnsi="Times New Roman"/>
                <w:sz w:val="26"/>
                <w:szCs w:val="26"/>
              </w:rPr>
              <w:t>.</w:t>
            </w:r>
            <w:r w:rsidRPr="000B7E67">
              <w:rPr>
                <w:rFonts w:ascii="Times New Roman" w:hAnsi="Times New Roman"/>
                <w:sz w:val="26"/>
                <w:szCs w:val="26"/>
              </w:rPr>
              <w:t xml:space="preserve"> Thu nhập và phân tích hiệu quả công ty</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40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5</w:t>
            </w:r>
            <w:r>
              <w:rPr>
                <w:rFonts w:ascii="Times New Roman" w:hAnsi="Times New Roman"/>
                <w:sz w:val="26"/>
                <w:szCs w:val="26"/>
              </w:rPr>
              <w:t>.</w:t>
            </w:r>
            <w:r w:rsidRPr="000B7E67">
              <w:rPr>
                <w:rFonts w:ascii="Times New Roman" w:hAnsi="Times New Roman"/>
                <w:sz w:val="26"/>
                <w:szCs w:val="26"/>
              </w:rPr>
              <w:t xml:space="preserve"> Quản lý phát triển nguồn nhân lực</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jc w:val="right"/>
              <w:rPr>
                <w:rFonts w:ascii="Times New Roman" w:hAnsi="Times New Roman"/>
                <w:sz w:val="26"/>
                <w:szCs w:val="26"/>
              </w:rPr>
            </w:pPr>
            <w:r w:rsidRPr="000B7E67">
              <w:rPr>
                <w:rFonts w:ascii="Times New Roman" w:hAnsi="Times New Roman"/>
                <w:sz w:val="26"/>
                <w:szCs w:val="26"/>
              </w:rPr>
              <w:t>100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5.1</w:t>
            </w:r>
            <w:r>
              <w:rPr>
                <w:rFonts w:ascii="Times New Roman" w:hAnsi="Times New Roman"/>
                <w:sz w:val="26"/>
                <w:szCs w:val="26"/>
              </w:rPr>
              <w:t>.</w:t>
            </w:r>
            <w:r w:rsidRPr="000B7E67">
              <w:rPr>
                <w:rFonts w:ascii="Times New Roman" w:hAnsi="Times New Roman"/>
                <w:sz w:val="26"/>
                <w:szCs w:val="26"/>
              </w:rPr>
              <w:t xml:space="preserve"> Hệ thống công việc</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40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5.2</w:t>
            </w:r>
            <w:r>
              <w:rPr>
                <w:rFonts w:ascii="Times New Roman" w:hAnsi="Times New Roman"/>
                <w:sz w:val="26"/>
                <w:szCs w:val="26"/>
              </w:rPr>
              <w:t>.</w:t>
            </w:r>
            <w:r w:rsidRPr="000B7E67">
              <w:rPr>
                <w:rFonts w:ascii="Times New Roman" w:hAnsi="Times New Roman"/>
                <w:sz w:val="26"/>
                <w:szCs w:val="26"/>
              </w:rPr>
              <w:t xml:space="preserve"> Giáo dục,huấn luyện phát triển đội ngũ nhân viên</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30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5.3</w:t>
            </w:r>
            <w:r>
              <w:rPr>
                <w:rFonts w:ascii="Times New Roman" w:hAnsi="Times New Roman"/>
                <w:sz w:val="26"/>
                <w:szCs w:val="26"/>
              </w:rPr>
              <w:t>.</w:t>
            </w:r>
            <w:r w:rsidRPr="000B7E67">
              <w:rPr>
                <w:rFonts w:ascii="Times New Roman" w:hAnsi="Times New Roman"/>
                <w:sz w:val="26"/>
                <w:szCs w:val="26"/>
              </w:rPr>
              <w:t xml:space="preserve"> Sự hài lòng của nhân viên theo tiêu chuẩn Well-Being</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30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6. Quy trình quản lý</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jc w:val="right"/>
              <w:rPr>
                <w:rFonts w:ascii="Times New Roman" w:hAnsi="Times New Roman"/>
                <w:sz w:val="26"/>
                <w:szCs w:val="26"/>
              </w:rPr>
            </w:pPr>
            <w:r w:rsidRPr="000B7E67">
              <w:rPr>
                <w:rFonts w:ascii="Times New Roman" w:hAnsi="Times New Roman"/>
                <w:sz w:val="26"/>
                <w:szCs w:val="26"/>
              </w:rPr>
              <w:t>100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6.1</w:t>
            </w:r>
            <w:r>
              <w:rPr>
                <w:rFonts w:ascii="Times New Roman" w:hAnsi="Times New Roman"/>
                <w:sz w:val="26"/>
                <w:szCs w:val="26"/>
              </w:rPr>
              <w:t>.</w:t>
            </w:r>
            <w:r w:rsidRPr="000B7E67">
              <w:rPr>
                <w:rFonts w:ascii="Times New Roman" w:hAnsi="Times New Roman"/>
                <w:sz w:val="26"/>
                <w:szCs w:val="26"/>
              </w:rPr>
              <w:t xml:space="preserve"> Quy trình quản lý sản phẩm và dịch vụ</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60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6.2</w:t>
            </w:r>
            <w:r>
              <w:rPr>
                <w:rFonts w:ascii="Times New Roman" w:hAnsi="Times New Roman"/>
                <w:sz w:val="26"/>
                <w:szCs w:val="26"/>
              </w:rPr>
              <w:t>.</w:t>
            </w:r>
            <w:r w:rsidRPr="000B7E67">
              <w:rPr>
                <w:rFonts w:ascii="Times New Roman" w:hAnsi="Times New Roman"/>
                <w:sz w:val="26"/>
                <w:szCs w:val="26"/>
              </w:rPr>
              <w:t xml:space="preserve"> Quy trình hỗ trợ nhà quản lý</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20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6.3</w:t>
            </w:r>
            <w:r>
              <w:rPr>
                <w:rFonts w:ascii="Times New Roman" w:hAnsi="Times New Roman"/>
                <w:sz w:val="26"/>
                <w:szCs w:val="26"/>
              </w:rPr>
              <w:t>.</w:t>
            </w:r>
            <w:r w:rsidRPr="000B7E67">
              <w:rPr>
                <w:rFonts w:ascii="Times New Roman" w:hAnsi="Times New Roman"/>
                <w:sz w:val="26"/>
                <w:szCs w:val="26"/>
              </w:rPr>
              <w:t xml:space="preserve"> Quy trình hỗ trợ cung cấp nhà quản lý</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20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7. Kết quả kinh doanh</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jc w:val="right"/>
              <w:rPr>
                <w:rFonts w:ascii="Times New Roman" w:hAnsi="Times New Roman"/>
                <w:sz w:val="26"/>
                <w:szCs w:val="26"/>
              </w:rPr>
            </w:pPr>
            <w:r w:rsidRPr="000B7E67">
              <w:rPr>
                <w:rFonts w:ascii="Times New Roman" w:hAnsi="Times New Roman"/>
                <w:sz w:val="26"/>
                <w:szCs w:val="26"/>
              </w:rPr>
              <w:t>450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7.1</w:t>
            </w:r>
            <w:r>
              <w:rPr>
                <w:rFonts w:ascii="Times New Roman" w:hAnsi="Times New Roman"/>
                <w:sz w:val="26"/>
                <w:szCs w:val="26"/>
              </w:rPr>
              <w:t>.</w:t>
            </w:r>
            <w:r w:rsidRPr="000B7E67">
              <w:rPr>
                <w:rFonts w:ascii="Times New Roman" w:hAnsi="Times New Roman"/>
                <w:sz w:val="26"/>
                <w:szCs w:val="26"/>
              </w:rPr>
              <w:t xml:space="preserve"> Sự hài lòng của khách hàng</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130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7.2</w:t>
            </w:r>
            <w:r>
              <w:rPr>
                <w:rFonts w:ascii="Times New Roman" w:hAnsi="Times New Roman"/>
                <w:sz w:val="26"/>
                <w:szCs w:val="26"/>
              </w:rPr>
              <w:t>.</w:t>
            </w:r>
            <w:r w:rsidRPr="000B7E67">
              <w:rPr>
                <w:rFonts w:ascii="Times New Roman" w:hAnsi="Times New Roman"/>
                <w:sz w:val="26"/>
                <w:szCs w:val="26"/>
              </w:rPr>
              <w:t xml:space="preserve"> Thị phần</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130</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7.3</w:t>
            </w:r>
            <w:r>
              <w:rPr>
                <w:rFonts w:ascii="Times New Roman" w:hAnsi="Times New Roman"/>
                <w:sz w:val="26"/>
                <w:szCs w:val="26"/>
              </w:rPr>
              <w:t>.</w:t>
            </w:r>
            <w:r w:rsidRPr="000B7E67">
              <w:rPr>
                <w:rFonts w:ascii="Times New Roman" w:hAnsi="Times New Roman"/>
                <w:sz w:val="26"/>
                <w:szCs w:val="26"/>
              </w:rPr>
              <w:t xml:space="preserve"> Nhân sự</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35</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7.4</w:t>
            </w:r>
            <w:r>
              <w:rPr>
                <w:rFonts w:ascii="Times New Roman" w:hAnsi="Times New Roman"/>
                <w:sz w:val="26"/>
                <w:szCs w:val="26"/>
              </w:rPr>
              <w:t>.</w:t>
            </w:r>
            <w:r w:rsidRPr="000B7E67">
              <w:rPr>
                <w:rFonts w:ascii="Times New Roman" w:hAnsi="Times New Roman"/>
                <w:sz w:val="26"/>
                <w:szCs w:val="26"/>
              </w:rPr>
              <w:t xml:space="preserve"> Đối tác và nhà cung cấp</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25</w:t>
            </w:r>
          </w:p>
        </w:tc>
      </w:tr>
      <w:tr w:rsidR="00BE59D3" w:rsidTr="0000371B">
        <w:tc>
          <w:tcPr>
            <w:tcW w:w="741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lastRenderedPageBreak/>
              <w:t>7.5</w:t>
            </w:r>
            <w:r>
              <w:rPr>
                <w:rFonts w:ascii="Times New Roman" w:hAnsi="Times New Roman"/>
                <w:sz w:val="26"/>
                <w:szCs w:val="26"/>
              </w:rPr>
              <w:t>.</w:t>
            </w:r>
            <w:r w:rsidRPr="000B7E67">
              <w:rPr>
                <w:rFonts w:ascii="Times New Roman" w:hAnsi="Times New Roman"/>
                <w:sz w:val="26"/>
                <w:szCs w:val="26"/>
              </w:rPr>
              <w:t xml:space="preserve"> Kết quả cụ thể của công ty</w:t>
            </w:r>
          </w:p>
        </w:tc>
        <w:tc>
          <w:tcPr>
            <w:tcW w:w="2073" w:type="dxa"/>
            <w:tcBorders>
              <w:left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sz w:val="26"/>
                <w:szCs w:val="26"/>
              </w:rPr>
            </w:pPr>
            <w:r w:rsidRPr="000B7E67">
              <w:rPr>
                <w:rFonts w:ascii="Times New Roman" w:hAnsi="Times New Roman"/>
                <w:sz w:val="26"/>
                <w:szCs w:val="26"/>
              </w:rPr>
              <w:t>130</w:t>
            </w:r>
          </w:p>
        </w:tc>
      </w:tr>
      <w:tr w:rsidR="00BE59D3" w:rsidTr="0000371B">
        <w:tc>
          <w:tcPr>
            <w:tcW w:w="7413" w:type="dxa"/>
            <w:tcBorders>
              <w:left w:val="single" w:sz="4" w:space="0" w:color="auto"/>
              <w:bottom w:val="single" w:sz="4" w:space="0" w:color="auto"/>
              <w:right w:val="single" w:sz="4" w:space="0" w:color="auto"/>
            </w:tcBorders>
            <w:shd w:val="clear" w:color="auto" w:fill="auto"/>
          </w:tcPr>
          <w:p w:rsidR="00BE59D3" w:rsidRPr="000B7E67" w:rsidRDefault="00BE59D3" w:rsidP="0000371B">
            <w:pPr>
              <w:spacing w:after="0" w:line="360" w:lineRule="auto"/>
              <w:rPr>
                <w:rFonts w:ascii="Times New Roman" w:hAnsi="Times New Roman"/>
                <w:b/>
                <w:sz w:val="26"/>
                <w:szCs w:val="26"/>
              </w:rPr>
            </w:pPr>
            <w:r w:rsidRPr="000B7E67">
              <w:rPr>
                <w:rFonts w:ascii="Times New Roman" w:hAnsi="Times New Roman"/>
                <w:b/>
                <w:sz w:val="26"/>
                <w:szCs w:val="26"/>
              </w:rPr>
              <w:t>Tổng điểm</w:t>
            </w:r>
          </w:p>
        </w:tc>
        <w:tc>
          <w:tcPr>
            <w:tcW w:w="2073" w:type="dxa"/>
            <w:tcBorders>
              <w:left w:val="single" w:sz="4" w:space="0" w:color="auto"/>
              <w:bottom w:val="single" w:sz="4" w:space="0" w:color="auto"/>
              <w:right w:val="single" w:sz="4" w:space="0" w:color="auto"/>
            </w:tcBorders>
            <w:shd w:val="clear" w:color="auto" w:fill="auto"/>
          </w:tcPr>
          <w:p w:rsidR="00BE59D3" w:rsidRPr="000B7E67" w:rsidRDefault="00BE59D3" w:rsidP="0000371B">
            <w:pPr>
              <w:spacing w:after="0" w:line="360" w:lineRule="auto"/>
              <w:jc w:val="right"/>
              <w:rPr>
                <w:rFonts w:ascii="Times New Roman" w:hAnsi="Times New Roman"/>
                <w:sz w:val="26"/>
                <w:szCs w:val="26"/>
              </w:rPr>
            </w:pPr>
            <w:r w:rsidRPr="000B7E67">
              <w:rPr>
                <w:rFonts w:ascii="Times New Roman" w:hAnsi="Times New Roman"/>
                <w:sz w:val="26"/>
                <w:szCs w:val="26"/>
              </w:rPr>
              <w:t>1.000</w:t>
            </w:r>
          </w:p>
        </w:tc>
      </w:tr>
    </w:tbl>
    <w:p w:rsidR="00BE59D3" w:rsidRDefault="00BE59D3" w:rsidP="00BE59D3">
      <w:pPr>
        <w:spacing w:after="0" w:line="360" w:lineRule="auto"/>
      </w:pPr>
    </w:p>
    <w:p w:rsidR="00BE59D3" w:rsidRDefault="00BE59D3" w:rsidP="00BE59D3">
      <w:pPr>
        <w:spacing w:after="0" w:line="360" w:lineRule="auto"/>
        <w:ind w:firstLine="720"/>
        <w:jc w:val="both"/>
        <w:rPr>
          <w:rFonts w:ascii="Times New Roman" w:hAnsi="Times New Roman"/>
          <w:sz w:val="26"/>
          <w:szCs w:val="26"/>
        </w:rPr>
      </w:pPr>
      <w:r>
        <w:rPr>
          <w:rFonts w:ascii="Times New Roman" w:hAnsi="Times New Roman"/>
          <w:sz w:val="26"/>
          <w:szCs w:val="26"/>
        </w:rPr>
        <w:t>So sánh với báo cáo COSO</w:t>
      </w:r>
      <w:proofErr w:type="gramStart"/>
      <w:r>
        <w:rPr>
          <w:rFonts w:ascii="Times New Roman" w:hAnsi="Times New Roman"/>
          <w:sz w:val="26"/>
          <w:szCs w:val="26"/>
        </w:rPr>
        <w:t>,tiêu</w:t>
      </w:r>
      <w:proofErr w:type="gramEnd"/>
      <w:r>
        <w:rPr>
          <w:rFonts w:ascii="Times New Roman" w:hAnsi="Times New Roman"/>
          <w:sz w:val="26"/>
          <w:szCs w:val="26"/>
        </w:rPr>
        <w:t xml:space="preserve"> chuẩn MBNQA có một số khác biệt như là:</w:t>
      </w:r>
    </w:p>
    <w:p w:rsidR="00BE59D3" w:rsidRDefault="00BE59D3" w:rsidP="00BE59D3">
      <w:pPr>
        <w:spacing w:after="0" w:line="360" w:lineRule="auto"/>
        <w:ind w:firstLine="720"/>
        <w:jc w:val="both"/>
        <w:rPr>
          <w:rFonts w:ascii="Times New Roman" w:hAnsi="Times New Roman"/>
          <w:sz w:val="26"/>
          <w:szCs w:val="26"/>
        </w:rPr>
      </w:pPr>
      <w:r>
        <w:rPr>
          <w:rFonts w:ascii="Times New Roman" w:hAnsi="Times New Roman"/>
          <w:sz w:val="26"/>
          <w:szCs w:val="26"/>
        </w:rPr>
        <w:t>- Khuôn mẫu COSO không bao gồm kế hoạch chiến lược;</w:t>
      </w:r>
    </w:p>
    <w:p w:rsidR="00BE59D3" w:rsidRDefault="00BE59D3" w:rsidP="00BE59D3">
      <w:pPr>
        <w:spacing w:after="0" w:line="360" w:lineRule="auto"/>
        <w:ind w:firstLine="720"/>
        <w:jc w:val="both"/>
        <w:rPr>
          <w:rFonts w:ascii="Times New Roman" w:hAnsi="Times New Roman"/>
          <w:sz w:val="26"/>
          <w:szCs w:val="26"/>
        </w:rPr>
      </w:pPr>
      <w:r>
        <w:rPr>
          <w:rFonts w:ascii="Times New Roman" w:hAnsi="Times New Roman"/>
          <w:sz w:val="26"/>
          <w:szCs w:val="26"/>
        </w:rPr>
        <w:t>- COSO bỏ qua khái niệm dự hài lòng của khách hàng;</w:t>
      </w:r>
    </w:p>
    <w:p w:rsidR="00BE59D3" w:rsidRPr="00400A01" w:rsidRDefault="00BE59D3" w:rsidP="00BE59D3">
      <w:pPr>
        <w:spacing w:after="0" w:line="360" w:lineRule="auto"/>
        <w:ind w:firstLine="720"/>
        <w:jc w:val="both"/>
        <w:rPr>
          <w:rFonts w:ascii="Times New Roman" w:hAnsi="Times New Roman"/>
          <w:spacing w:val="-4"/>
          <w:sz w:val="26"/>
          <w:szCs w:val="26"/>
        </w:rPr>
      </w:pPr>
      <w:r w:rsidRPr="00400A01">
        <w:rPr>
          <w:rFonts w:ascii="Times New Roman" w:hAnsi="Times New Roman"/>
          <w:spacing w:val="-4"/>
          <w:sz w:val="26"/>
          <w:szCs w:val="26"/>
        </w:rPr>
        <w:t>- COSO nhấn mạnh quá trình KSSNB ảnh hưởng đến kết quả hoạt động kinh doanh;</w:t>
      </w:r>
    </w:p>
    <w:p w:rsidR="00BE59D3" w:rsidRDefault="00BE59D3" w:rsidP="00BE59D3">
      <w:pPr>
        <w:spacing w:after="0" w:line="360" w:lineRule="auto"/>
        <w:ind w:firstLine="720"/>
        <w:jc w:val="both"/>
        <w:rPr>
          <w:rFonts w:ascii="Times New Roman" w:hAnsi="Times New Roman"/>
          <w:sz w:val="26"/>
          <w:szCs w:val="26"/>
        </w:rPr>
      </w:pPr>
      <w:r>
        <w:rPr>
          <w:rFonts w:ascii="Times New Roman" w:hAnsi="Times New Roman"/>
          <w:sz w:val="26"/>
          <w:szCs w:val="26"/>
        </w:rPr>
        <w:t>- Tiêu chuẩn MBNQA không xem xét vấn đề đánh giá rủi ro.</w:t>
      </w:r>
    </w:p>
    <w:p w:rsidR="00B02172" w:rsidRPr="00CA1CB9" w:rsidRDefault="00B02172">
      <w:pPr>
        <w:rPr>
          <w:rFonts w:ascii="Times New Roman" w:hAnsi="Times New Roman" w:cs="Times New Roman"/>
          <w:b/>
          <w:sz w:val="28"/>
          <w:szCs w:val="28"/>
        </w:rPr>
      </w:pPr>
    </w:p>
    <w:p w:rsidR="00BE59D3" w:rsidRPr="00CA1CB9" w:rsidRDefault="00CA1CB9">
      <w:pPr>
        <w:rPr>
          <w:rFonts w:ascii="Times New Roman" w:hAnsi="Times New Roman" w:cs="Times New Roman"/>
          <w:b/>
          <w:sz w:val="28"/>
          <w:szCs w:val="28"/>
        </w:rPr>
      </w:pPr>
      <w:r w:rsidRPr="00CA1CB9">
        <w:rPr>
          <w:rFonts w:ascii="Times New Roman" w:hAnsi="Times New Roman" w:cs="Times New Roman"/>
          <w:b/>
          <w:sz w:val="28"/>
          <w:szCs w:val="28"/>
        </w:rPr>
        <w:t>TÀI LIỆU THAM KHẢO</w:t>
      </w:r>
    </w:p>
    <w:p w:rsidR="00CA1CB9" w:rsidRPr="00CA1CB9" w:rsidRDefault="00CA1CB9" w:rsidP="00CA1CB9">
      <w:pPr>
        <w:pStyle w:val="ListParagraph"/>
        <w:widowControl w:val="0"/>
        <w:numPr>
          <w:ilvl w:val="0"/>
          <w:numId w:val="1"/>
        </w:numPr>
        <w:autoSpaceDE w:val="0"/>
        <w:autoSpaceDN w:val="0"/>
        <w:adjustRightInd w:val="0"/>
        <w:spacing w:after="120" w:line="360" w:lineRule="auto"/>
        <w:jc w:val="both"/>
        <w:rPr>
          <w:rFonts w:cs="Times New Roman"/>
          <w:color w:val="000000"/>
          <w:spacing w:val="-5"/>
          <w:szCs w:val="28"/>
        </w:rPr>
      </w:pPr>
      <w:r w:rsidRPr="00CA1CB9">
        <w:rPr>
          <w:rFonts w:cs="Times New Roman"/>
          <w:color w:val="000000"/>
          <w:szCs w:val="28"/>
        </w:rPr>
        <w:t>Cadbury</w:t>
      </w:r>
      <w:r w:rsidRPr="00CA1CB9">
        <w:rPr>
          <w:rFonts w:cs="Times New Roman"/>
          <w:color w:val="000000"/>
          <w:spacing w:val="10"/>
          <w:szCs w:val="28"/>
        </w:rPr>
        <w:t xml:space="preserve"> </w:t>
      </w:r>
      <w:r w:rsidRPr="00CA1CB9">
        <w:rPr>
          <w:rFonts w:cs="Times New Roman"/>
          <w:color w:val="000000"/>
          <w:szCs w:val="28"/>
        </w:rPr>
        <w:t>Committee</w:t>
      </w:r>
      <w:r w:rsidRPr="00CA1CB9">
        <w:rPr>
          <w:rFonts w:cs="Times New Roman"/>
          <w:color w:val="000000"/>
          <w:spacing w:val="10"/>
          <w:szCs w:val="28"/>
        </w:rPr>
        <w:t>, (</w:t>
      </w:r>
      <w:r w:rsidRPr="00CA1CB9">
        <w:rPr>
          <w:rFonts w:cs="Times New Roman"/>
          <w:color w:val="000000"/>
          <w:szCs w:val="28"/>
        </w:rPr>
        <w:t>1992).</w:t>
      </w:r>
      <w:r w:rsidRPr="00CA1CB9">
        <w:rPr>
          <w:rFonts w:cs="Times New Roman"/>
          <w:color w:val="000000"/>
          <w:spacing w:val="10"/>
          <w:szCs w:val="28"/>
        </w:rPr>
        <w:t xml:space="preserve"> </w:t>
      </w:r>
      <w:r w:rsidRPr="00CA1CB9">
        <w:rPr>
          <w:rFonts w:cs="Times New Roman"/>
          <w:i/>
          <w:iCs/>
          <w:color w:val="000000"/>
          <w:szCs w:val="28"/>
        </w:rPr>
        <w:t>Report</w:t>
      </w:r>
      <w:r w:rsidRPr="00CA1CB9">
        <w:rPr>
          <w:rFonts w:cs="Times New Roman"/>
          <w:i/>
          <w:iCs/>
          <w:color w:val="000000"/>
          <w:spacing w:val="10"/>
          <w:szCs w:val="28"/>
        </w:rPr>
        <w:t xml:space="preserve"> </w:t>
      </w:r>
      <w:r w:rsidRPr="00CA1CB9">
        <w:rPr>
          <w:rFonts w:cs="Times New Roman"/>
          <w:i/>
          <w:iCs/>
          <w:color w:val="000000"/>
          <w:szCs w:val="28"/>
        </w:rPr>
        <w:t>of</w:t>
      </w:r>
      <w:r w:rsidRPr="00CA1CB9">
        <w:rPr>
          <w:rFonts w:cs="Times New Roman"/>
          <w:i/>
          <w:iCs/>
          <w:color w:val="000000"/>
          <w:spacing w:val="10"/>
          <w:szCs w:val="28"/>
        </w:rPr>
        <w:t xml:space="preserve"> </w:t>
      </w:r>
      <w:r w:rsidRPr="00CA1CB9">
        <w:rPr>
          <w:rFonts w:cs="Times New Roman"/>
          <w:i/>
          <w:iCs/>
          <w:color w:val="000000"/>
          <w:szCs w:val="28"/>
        </w:rPr>
        <w:t>the</w:t>
      </w:r>
      <w:r w:rsidRPr="00CA1CB9">
        <w:rPr>
          <w:rFonts w:cs="Times New Roman"/>
          <w:i/>
          <w:iCs/>
          <w:color w:val="000000"/>
          <w:spacing w:val="10"/>
          <w:szCs w:val="28"/>
        </w:rPr>
        <w:t xml:space="preserve"> </w:t>
      </w:r>
      <w:r w:rsidRPr="00CA1CB9">
        <w:rPr>
          <w:rFonts w:cs="Times New Roman"/>
          <w:i/>
          <w:iCs/>
          <w:color w:val="000000"/>
          <w:szCs w:val="28"/>
        </w:rPr>
        <w:t>committee</w:t>
      </w:r>
      <w:r w:rsidRPr="00CA1CB9">
        <w:rPr>
          <w:rFonts w:cs="Times New Roman"/>
          <w:i/>
          <w:iCs/>
          <w:color w:val="000000"/>
          <w:spacing w:val="10"/>
          <w:szCs w:val="28"/>
        </w:rPr>
        <w:t xml:space="preserve"> </w:t>
      </w:r>
      <w:r w:rsidRPr="00CA1CB9">
        <w:rPr>
          <w:rFonts w:cs="Times New Roman"/>
          <w:i/>
          <w:iCs/>
          <w:color w:val="000000"/>
          <w:szCs w:val="28"/>
        </w:rPr>
        <w:t>on</w:t>
      </w:r>
      <w:r w:rsidRPr="00CA1CB9">
        <w:rPr>
          <w:rFonts w:cs="Times New Roman"/>
          <w:i/>
          <w:iCs/>
          <w:color w:val="000000"/>
          <w:spacing w:val="10"/>
          <w:szCs w:val="28"/>
        </w:rPr>
        <w:t xml:space="preserve"> </w:t>
      </w:r>
      <w:r w:rsidRPr="00CA1CB9">
        <w:rPr>
          <w:rFonts w:cs="Times New Roman"/>
          <w:i/>
          <w:iCs/>
          <w:color w:val="000000"/>
          <w:szCs w:val="28"/>
        </w:rPr>
        <w:t>the</w:t>
      </w:r>
      <w:r w:rsidRPr="00CA1CB9">
        <w:rPr>
          <w:rFonts w:cs="Times New Roman"/>
          <w:i/>
          <w:iCs/>
          <w:color w:val="000000"/>
          <w:spacing w:val="10"/>
          <w:szCs w:val="28"/>
        </w:rPr>
        <w:t xml:space="preserve"> </w:t>
      </w:r>
      <w:r w:rsidRPr="00CA1CB9">
        <w:rPr>
          <w:rFonts w:cs="Times New Roman"/>
          <w:i/>
          <w:iCs/>
          <w:color w:val="000000"/>
          <w:szCs w:val="28"/>
        </w:rPr>
        <w:t>financial aspects</w:t>
      </w:r>
      <w:r w:rsidRPr="00CA1CB9">
        <w:rPr>
          <w:rFonts w:cs="Times New Roman"/>
          <w:i/>
          <w:iCs/>
          <w:color w:val="000000"/>
          <w:spacing w:val="10"/>
          <w:szCs w:val="28"/>
        </w:rPr>
        <w:t xml:space="preserve"> </w:t>
      </w:r>
      <w:r w:rsidRPr="00CA1CB9">
        <w:rPr>
          <w:rFonts w:cs="Times New Roman"/>
          <w:i/>
          <w:iCs/>
          <w:color w:val="000000"/>
          <w:szCs w:val="28"/>
        </w:rPr>
        <w:t xml:space="preserve">of corporate governance.  </w:t>
      </w:r>
      <w:r w:rsidRPr="00CA1CB9">
        <w:rPr>
          <w:rFonts w:cs="Times New Roman"/>
          <w:color w:val="000000"/>
          <w:szCs w:val="28"/>
        </w:rPr>
        <w:t>London: Gee and Company Ltd.</w:t>
      </w:r>
    </w:p>
    <w:p w:rsidR="00CA1CB9" w:rsidRPr="00CA1CB9" w:rsidRDefault="00CA1CB9" w:rsidP="00CA1CB9">
      <w:pPr>
        <w:pStyle w:val="ListParagraph"/>
        <w:widowControl w:val="0"/>
        <w:numPr>
          <w:ilvl w:val="0"/>
          <w:numId w:val="1"/>
        </w:numPr>
        <w:autoSpaceDE w:val="0"/>
        <w:autoSpaceDN w:val="0"/>
        <w:adjustRightInd w:val="0"/>
        <w:spacing w:after="120" w:line="360" w:lineRule="auto"/>
        <w:jc w:val="both"/>
        <w:rPr>
          <w:rFonts w:cs="Times New Roman"/>
          <w:color w:val="000000"/>
          <w:spacing w:val="-5"/>
          <w:szCs w:val="28"/>
        </w:rPr>
      </w:pPr>
      <w:r w:rsidRPr="00CA1CB9">
        <w:rPr>
          <w:rFonts w:cs="Times New Roman"/>
          <w:color w:val="000000"/>
          <w:szCs w:val="28"/>
        </w:rPr>
        <w:t>Canadian</w:t>
      </w:r>
      <w:r w:rsidRPr="00CA1CB9">
        <w:rPr>
          <w:rFonts w:cs="Times New Roman"/>
          <w:color w:val="000000"/>
          <w:spacing w:val="11"/>
          <w:szCs w:val="28"/>
        </w:rPr>
        <w:t xml:space="preserve"> </w:t>
      </w:r>
      <w:r w:rsidRPr="00CA1CB9">
        <w:rPr>
          <w:rFonts w:cs="Times New Roman"/>
          <w:color w:val="000000"/>
          <w:szCs w:val="28"/>
        </w:rPr>
        <w:t>Institute</w:t>
      </w:r>
      <w:r w:rsidRPr="00CA1CB9">
        <w:rPr>
          <w:rFonts w:cs="Times New Roman"/>
          <w:color w:val="000000"/>
          <w:spacing w:val="11"/>
          <w:szCs w:val="28"/>
        </w:rPr>
        <w:t xml:space="preserve"> </w:t>
      </w:r>
      <w:r w:rsidRPr="00CA1CB9">
        <w:rPr>
          <w:rFonts w:cs="Times New Roman"/>
          <w:color w:val="000000"/>
          <w:szCs w:val="28"/>
        </w:rPr>
        <w:t>of</w:t>
      </w:r>
      <w:r w:rsidRPr="00CA1CB9">
        <w:rPr>
          <w:rFonts w:cs="Times New Roman"/>
          <w:color w:val="000000"/>
          <w:spacing w:val="11"/>
          <w:szCs w:val="28"/>
        </w:rPr>
        <w:t xml:space="preserve"> </w:t>
      </w:r>
      <w:r w:rsidRPr="00CA1CB9">
        <w:rPr>
          <w:rFonts w:cs="Times New Roman"/>
          <w:color w:val="000000"/>
          <w:szCs w:val="28"/>
        </w:rPr>
        <w:t>Chartered Accountants</w:t>
      </w:r>
      <w:r w:rsidRPr="00CA1CB9">
        <w:rPr>
          <w:rFonts w:cs="Times New Roman"/>
          <w:color w:val="000000"/>
          <w:spacing w:val="11"/>
          <w:szCs w:val="28"/>
        </w:rPr>
        <w:t xml:space="preserve"> </w:t>
      </w:r>
      <w:r w:rsidRPr="00CA1CB9">
        <w:rPr>
          <w:rFonts w:cs="Times New Roman"/>
          <w:color w:val="000000"/>
          <w:szCs w:val="28"/>
        </w:rPr>
        <w:t>(CICA)</w:t>
      </w:r>
      <w:r w:rsidRPr="00CA1CB9">
        <w:rPr>
          <w:rFonts w:cs="Times New Roman"/>
          <w:color w:val="000000"/>
          <w:spacing w:val="11"/>
          <w:szCs w:val="28"/>
        </w:rPr>
        <w:t xml:space="preserve"> </w:t>
      </w:r>
      <w:r w:rsidRPr="00CA1CB9">
        <w:rPr>
          <w:rFonts w:cs="Times New Roman"/>
          <w:color w:val="000000"/>
          <w:szCs w:val="28"/>
        </w:rPr>
        <w:t>–</w:t>
      </w:r>
      <w:r w:rsidRPr="00CA1CB9">
        <w:rPr>
          <w:rFonts w:cs="Times New Roman"/>
          <w:color w:val="000000"/>
          <w:spacing w:val="11"/>
          <w:szCs w:val="28"/>
        </w:rPr>
        <w:t xml:space="preserve"> </w:t>
      </w:r>
      <w:r w:rsidRPr="00CA1CB9">
        <w:rPr>
          <w:rFonts w:cs="Times New Roman"/>
          <w:color w:val="000000"/>
          <w:szCs w:val="28"/>
        </w:rPr>
        <w:t>Criteria</w:t>
      </w:r>
      <w:r w:rsidRPr="00CA1CB9">
        <w:rPr>
          <w:rFonts w:cs="Times New Roman"/>
          <w:color w:val="000000"/>
          <w:spacing w:val="11"/>
          <w:szCs w:val="28"/>
        </w:rPr>
        <w:t xml:space="preserve"> </w:t>
      </w:r>
      <w:r w:rsidRPr="00CA1CB9">
        <w:rPr>
          <w:rFonts w:cs="Times New Roman"/>
          <w:color w:val="000000"/>
          <w:szCs w:val="28"/>
        </w:rPr>
        <w:t>of</w:t>
      </w:r>
      <w:r w:rsidRPr="00CA1CB9">
        <w:rPr>
          <w:rFonts w:cs="Times New Roman"/>
          <w:color w:val="000000"/>
          <w:spacing w:val="11"/>
          <w:szCs w:val="28"/>
        </w:rPr>
        <w:t xml:space="preserve"> </w:t>
      </w:r>
      <w:r w:rsidRPr="00CA1CB9">
        <w:rPr>
          <w:rFonts w:cs="Times New Roman"/>
          <w:color w:val="000000"/>
          <w:szCs w:val="28"/>
        </w:rPr>
        <w:t>Control</w:t>
      </w:r>
      <w:r w:rsidRPr="00CA1CB9">
        <w:rPr>
          <w:rFonts w:cs="Times New Roman"/>
          <w:color w:val="000000"/>
          <w:spacing w:val="11"/>
          <w:szCs w:val="28"/>
        </w:rPr>
        <w:t xml:space="preserve"> </w:t>
      </w:r>
      <w:r w:rsidRPr="00CA1CB9">
        <w:rPr>
          <w:rFonts w:cs="Times New Roman"/>
          <w:color w:val="000000"/>
          <w:szCs w:val="28"/>
        </w:rPr>
        <w:t>(1994). CoCo –</w:t>
      </w:r>
      <w:r w:rsidRPr="00CA1CB9">
        <w:rPr>
          <w:rFonts w:cs="Times New Roman"/>
          <w:color w:val="000000"/>
          <w:spacing w:val="-11"/>
          <w:szCs w:val="28"/>
        </w:rPr>
        <w:t xml:space="preserve"> </w:t>
      </w:r>
      <w:r w:rsidRPr="00CA1CB9">
        <w:rPr>
          <w:rFonts w:cs="Times New Roman"/>
          <w:i/>
          <w:color w:val="000000"/>
          <w:szCs w:val="28"/>
        </w:rPr>
        <w:t>An Overvie</w:t>
      </w:r>
      <w:r w:rsidRPr="00CA1CB9">
        <w:rPr>
          <w:rFonts w:cs="Times New Roman"/>
          <w:i/>
          <w:color w:val="000000"/>
          <w:spacing w:val="-13"/>
          <w:szCs w:val="28"/>
        </w:rPr>
        <w:t>w</w:t>
      </w:r>
      <w:r w:rsidRPr="00CA1CB9">
        <w:rPr>
          <w:rFonts w:cs="Times New Roman"/>
          <w:color w:val="000000"/>
          <w:szCs w:val="28"/>
        </w:rPr>
        <w:t>. CICA.</w:t>
      </w:r>
      <w:r w:rsidRPr="00CA1CB9">
        <w:rPr>
          <w:rFonts w:cs="Times New Roman"/>
          <w:color w:val="000000"/>
          <w:spacing w:val="-15"/>
          <w:szCs w:val="28"/>
        </w:rPr>
        <w:t xml:space="preserve"> </w:t>
      </w:r>
      <w:hyperlink r:id="rId5" w:history="1">
        <w:r w:rsidRPr="00CA1CB9">
          <w:rPr>
            <w:rFonts w:cs="Times New Roman"/>
            <w:color w:val="000000"/>
            <w:szCs w:val="28"/>
          </w:rPr>
          <w:t>&lt;ww</w:t>
        </w:r>
        <w:r w:rsidRPr="00CA1CB9">
          <w:rPr>
            <w:rFonts w:cs="Times New Roman"/>
            <w:color w:val="000000"/>
            <w:spacing w:val="-13"/>
            <w:szCs w:val="28"/>
          </w:rPr>
          <w:t>w</w:t>
        </w:r>
        <w:r w:rsidRPr="00CA1CB9">
          <w:rPr>
            <w:rFonts w:cs="Times New Roman"/>
            <w:color w:val="000000"/>
            <w:szCs w:val="28"/>
          </w:rPr>
          <w:t>.cica.ca</w:t>
        </w:r>
      </w:hyperlink>
      <w:r w:rsidRPr="00CA1CB9">
        <w:rPr>
          <w:rFonts w:cs="Times New Roman"/>
          <w:color w:val="000000"/>
          <w:spacing w:val="-16"/>
          <w:szCs w:val="28"/>
        </w:rPr>
        <w:t>&gt;.</w:t>
      </w:r>
    </w:p>
    <w:p w:rsidR="00CA1CB9" w:rsidRPr="00CA1CB9" w:rsidRDefault="00CA1CB9" w:rsidP="00CA1CB9">
      <w:pPr>
        <w:pStyle w:val="ListParagraph"/>
        <w:widowControl w:val="0"/>
        <w:numPr>
          <w:ilvl w:val="0"/>
          <w:numId w:val="1"/>
        </w:numPr>
        <w:tabs>
          <w:tab w:val="left" w:pos="851"/>
        </w:tabs>
        <w:autoSpaceDE w:val="0"/>
        <w:autoSpaceDN w:val="0"/>
        <w:adjustRightInd w:val="0"/>
        <w:spacing w:after="120" w:line="360" w:lineRule="auto"/>
        <w:jc w:val="both"/>
        <w:rPr>
          <w:rFonts w:cs="Times New Roman"/>
          <w:color w:val="000000"/>
          <w:spacing w:val="-5"/>
          <w:szCs w:val="28"/>
        </w:rPr>
      </w:pPr>
      <w:r w:rsidRPr="00CA1CB9">
        <w:rPr>
          <w:rFonts w:cs="Times New Roman"/>
          <w:color w:val="000000"/>
          <w:szCs w:val="28"/>
        </w:rPr>
        <w:t xml:space="preserve">SEC, (2009). </w:t>
      </w:r>
      <w:r w:rsidRPr="00CA1CB9">
        <w:rPr>
          <w:rFonts w:cs="Times New Roman"/>
          <w:i/>
          <w:color w:val="000000"/>
          <w:szCs w:val="28"/>
        </w:rPr>
        <w:t>Study of the Sarbanes-Oxley Act of 2002 Section 404 internal control over financial reporting requirements.</w:t>
      </w:r>
    </w:p>
    <w:p w:rsidR="00CA1CB9" w:rsidRPr="00CA1CB9" w:rsidRDefault="00CA1CB9" w:rsidP="00CA1CB9">
      <w:pPr>
        <w:pStyle w:val="ListParagraph"/>
        <w:widowControl w:val="0"/>
        <w:numPr>
          <w:ilvl w:val="0"/>
          <w:numId w:val="1"/>
        </w:numPr>
        <w:tabs>
          <w:tab w:val="left" w:pos="851"/>
        </w:tabs>
        <w:autoSpaceDE w:val="0"/>
        <w:autoSpaceDN w:val="0"/>
        <w:adjustRightInd w:val="0"/>
        <w:spacing w:after="120" w:line="360" w:lineRule="auto"/>
        <w:jc w:val="both"/>
        <w:rPr>
          <w:rFonts w:cs="Times New Roman"/>
          <w:color w:val="000000"/>
          <w:spacing w:val="-5"/>
          <w:szCs w:val="28"/>
        </w:rPr>
      </w:pPr>
      <w:proofErr w:type="gramStart"/>
      <w:r w:rsidRPr="00CA1CB9">
        <w:rPr>
          <w:rFonts w:cs="Times New Roman"/>
          <w:color w:val="000000"/>
          <w:szCs w:val="28"/>
        </w:rPr>
        <w:t xml:space="preserve">Turnbull </w:t>
      </w:r>
      <w:r w:rsidRPr="00CA1CB9">
        <w:rPr>
          <w:rFonts w:cs="Times New Roman"/>
          <w:color w:val="000000"/>
          <w:spacing w:val="40"/>
          <w:szCs w:val="28"/>
        </w:rPr>
        <w:t xml:space="preserve"> </w:t>
      </w:r>
      <w:r w:rsidRPr="00CA1CB9">
        <w:rPr>
          <w:rFonts w:cs="Times New Roman"/>
          <w:color w:val="000000"/>
          <w:szCs w:val="28"/>
        </w:rPr>
        <w:t>Committee</w:t>
      </w:r>
      <w:proofErr w:type="gramEnd"/>
      <w:r w:rsidRPr="00CA1CB9">
        <w:rPr>
          <w:rFonts w:cs="Times New Roman"/>
          <w:color w:val="000000"/>
          <w:szCs w:val="28"/>
        </w:rPr>
        <w:t>, (1999).</w:t>
      </w:r>
      <w:r w:rsidRPr="00CA1CB9">
        <w:rPr>
          <w:rFonts w:cs="Times New Roman"/>
          <w:color w:val="000000"/>
          <w:spacing w:val="35"/>
          <w:szCs w:val="28"/>
        </w:rPr>
        <w:t xml:space="preserve"> </w:t>
      </w:r>
      <w:proofErr w:type="gramStart"/>
      <w:r w:rsidRPr="00CA1CB9">
        <w:rPr>
          <w:rFonts w:cs="Times New Roman"/>
          <w:i/>
          <w:color w:val="000000"/>
          <w:szCs w:val="28"/>
        </w:rPr>
        <w:t xml:space="preserve">Internal </w:t>
      </w:r>
      <w:r w:rsidRPr="00CA1CB9">
        <w:rPr>
          <w:rFonts w:cs="Times New Roman"/>
          <w:i/>
          <w:color w:val="000000"/>
          <w:spacing w:val="24"/>
          <w:szCs w:val="28"/>
        </w:rPr>
        <w:t xml:space="preserve"> </w:t>
      </w:r>
      <w:r w:rsidRPr="00CA1CB9">
        <w:rPr>
          <w:rFonts w:cs="Times New Roman"/>
          <w:i/>
          <w:color w:val="000000"/>
          <w:szCs w:val="28"/>
        </w:rPr>
        <w:t>control</w:t>
      </w:r>
      <w:proofErr w:type="gramEnd"/>
      <w:r w:rsidRPr="00CA1CB9">
        <w:rPr>
          <w:rFonts w:cs="Times New Roman"/>
          <w:i/>
          <w:color w:val="000000"/>
          <w:szCs w:val="28"/>
        </w:rPr>
        <w:t>: Guidance</w:t>
      </w:r>
      <w:r w:rsidRPr="00CA1CB9">
        <w:rPr>
          <w:rFonts w:cs="Times New Roman"/>
          <w:i/>
          <w:color w:val="000000"/>
          <w:spacing w:val="35"/>
          <w:szCs w:val="28"/>
        </w:rPr>
        <w:t xml:space="preserve"> </w:t>
      </w:r>
      <w:r w:rsidRPr="00CA1CB9">
        <w:rPr>
          <w:rFonts w:cs="Times New Roman"/>
          <w:i/>
          <w:color w:val="000000"/>
          <w:szCs w:val="28"/>
        </w:rPr>
        <w:t xml:space="preserve">for </w:t>
      </w:r>
      <w:r w:rsidRPr="00CA1CB9">
        <w:rPr>
          <w:rFonts w:cs="Times New Roman"/>
          <w:i/>
          <w:color w:val="000000"/>
          <w:spacing w:val="2"/>
          <w:szCs w:val="28"/>
        </w:rPr>
        <w:t xml:space="preserve"> </w:t>
      </w:r>
      <w:r w:rsidRPr="00CA1CB9">
        <w:rPr>
          <w:rFonts w:cs="Times New Roman"/>
          <w:i/>
          <w:color w:val="000000"/>
          <w:szCs w:val="28"/>
        </w:rPr>
        <w:t xml:space="preserve">directors </w:t>
      </w:r>
      <w:r w:rsidRPr="00CA1CB9">
        <w:rPr>
          <w:rFonts w:cs="Times New Roman"/>
          <w:i/>
          <w:color w:val="000000"/>
          <w:spacing w:val="12"/>
          <w:szCs w:val="28"/>
        </w:rPr>
        <w:t xml:space="preserve"> </w:t>
      </w:r>
      <w:r w:rsidRPr="00CA1CB9">
        <w:rPr>
          <w:rFonts w:cs="Times New Roman"/>
          <w:i/>
          <w:color w:val="000000"/>
          <w:szCs w:val="28"/>
        </w:rPr>
        <w:t>on</w:t>
      </w:r>
      <w:r w:rsidRPr="00CA1CB9">
        <w:rPr>
          <w:rFonts w:cs="Times New Roman"/>
          <w:i/>
          <w:color w:val="000000"/>
          <w:spacing w:val="33"/>
          <w:szCs w:val="28"/>
        </w:rPr>
        <w:t xml:space="preserve"> </w:t>
      </w:r>
      <w:r w:rsidRPr="00CA1CB9">
        <w:rPr>
          <w:rFonts w:cs="Times New Roman"/>
          <w:i/>
          <w:color w:val="000000"/>
          <w:szCs w:val="28"/>
        </w:rPr>
        <w:t xml:space="preserve">the </w:t>
      </w:r>
      <w:r w:rsidRPr="00CA1CB9">
        <w:rPr>
          <w:rFonts w:cs="Times New Roman"/>
          <w:i/>
          <w:color w:val="000000"/>
          <w:spacing w:val="1"/>
          <w:szCs w:val="28"/>
        </w:rPr>
        <w:t xml:space="preserve"> </w:t>
      </w:r>
      <w:r w:rsidRPr="00CA1CB9">
        <w:rPr>
          <w:rFonts w:cs="Times New Roman"/>
          <w:i/>
          <w:color w:val="000000"/>
          <w:szCs w:val="28"/>
        </w:rPr>
        <w:t>combined</w:t>
      </w:r>
      <w:r w:rsidRPr="00CA1CB9">
        <w:rPr>
          <w:rFonts w:cs="Times New Roman"/>
          <w:i/>
          <w:color w:val="000000"/>
          <w:spacing w:val="21"/>
          <w:szCs w:val="28"/>
        </w:rPr>
        <w:t xml:space="preserve"> </w:t>
      </w:r>
      <w:r w:rsidRPr="00CA1CB9">
        <w:rPr>
          <w:rFonts w:cs="Times New Roman"/>
          <w:i/>
          <w:color w:val="000000"/>
          <w:szCs w:val="28"/>
        </w:rPr>
        <w:t>code.</w:t>
      </w:r>
      <w:r w:rsidRPr="00CA1CB9">
        <w:rPr>
          <w:rFonts w:cs="Times New Roman"/>
          <w:color w:val="000000"/>
          <w:szCs w:val="28"/>
        </w:rPr>
        <w:t xml:space="preserve"> Working Party of</w:t>
      </w:r>
      <w:r w:rsidRPr="00CA1CB9">
        <w:rPr>
          <w:rFonts w:cs="Times New Roman"/>
          <w:color w:val="000000"/>
          <w:spacing w:val="20"/>
          <w:szCs w:val="28"/>
        </w:rPr>
        <w:t xml:space="preserve"> </w:t>
      </w:r>
      <w:r w:rsidRPr="00CA1CB9">
        <w:rPr>
          <w:rFonts w:cs="Times New Roman"/>
          <w:color w:val="000000"/>
          <w:szCs w:val="28"/>
        </w:rPr>
        <w:t>the</w:t>
      </w:r>
      <w:r w:rsidRPr="00CA1CB9">
        <w:rPr>
          <w:rFonts w:cs="Times New Roman"/>
          <w:color w:val="000000"/>
          <w:spacing w:val="27"/>
          <w:szCs w:val="28"/>
        </w:rPr>
        <w:t xml:space="preserve"> </w:t>
      </w:r>
      <w:r w:rsidRPr="00CA1CB9">
        <w:rPr>
          <w:rFonts w:cs="Times New Roman"/>
          <w:color w:val="000000"/>
          <w:szCs w:val="28"/>
        </w:rPr>
        <w:t>Committ</w:t>
      </w:r>
      <w:r w:rsidRPr="00CA1CB9">
        <w:rPr>
          <w:rFonts w:cs="Times New Roman"/>
          <w:color w:val="000000"/>
          <w:spacing w:val="-2"/>
          <w:szCs w:val="28"/>
        </w:rPr>
        <w:t>e</w:t>
      </w:r>
      <w:r w:rsidRPr="00CA1CB9">
        <w:rPr>
          <w:rFonts w:cs="Times New Roman"/>
          <w:color w:val="000000"/>
          <w:szCs w:val="28"/>
        </w:rPr>
        <w:t>e on</w:t>
      </w:r>
      <w:r w:rsidRPr="00CA1CB9">
        <w:rPr>
          <w:rFonts w:cs="Times New Roman"/>
          <w:color w:val="000000"/>
          <w:spacing w:val="26"/>
          <w:szCs w:val="28"/>
        </w:rPr>
        <w:t xml:space="preserve"> </w:t>
      </w:r>
      <w:r w:rsidRPr="00CA1CB9">
        <w:rPr>
          <w:rFonts w:cs="Times New Roman"/>
          <w:color w:val="000000"/>
          <w:w w:val="108"/>
          <w:szCs w:val="28"/>
        </w:rPr>
        <w:t>Corporate</w:t>
      </w:r>
      <w:r w:rsidRPr="00CA1CB9">
        <w:rPr>
          <w:rFonts w:cs="Times New Roman"/>
          <w:color w:val="000000"/>
          <w:spacing w:val="21"/>
          <w:w w:val="108"/>
          <w:szCs w:val="28"/>
        </w:rPr>
        <w:t xml:space="preserve"> </w:t>
      </w:r>
      <w:r w:rsidRPr="00CA1CB9">
        <w:rPr>
          <w:rFonts w:cs="Times New Roman"/>
          <w:color w:val="000000"/>
          <w:w w:val="108"/>
          <w:szCs w:val="28"/>
        </w:rPr>
        <w:t>Governance,</w:t>
      </w:r>
      <w:r w:rsidRPr="00CA1CB9">
        <w:rPr>
          <w:rFonts w:cs="Times New Roman"/>
          <w:color w:val="000000"/>
          <w:spacing w:val="-7"/>
          <w:w w:val="108"/>
          <w:szCs w:val="28"/>
        </w:rPr>
        <w:t xml:space="preserve"> </w:t>
      </w:r>
      <w:r w:rsidRPr="00CA1CB9">
        <w:rPr>
          <w:rFonts w:cs="Times New Roman"/>
          <w:color w:val="000000"/>
          <w:szCs w:val="28"/>
        </w:rPr>
        <w:t>ICAEW</w:t>
      </w:r>
      <w:proofErr w:type="gramStart"/>
      <w:r w:rsidRPr="00CA1CB9">
        <w:rPr>
          <w:rFonts w:cs="Times New Roman"/>
          <w:color w:val="000000"/>
          <w:szCs w:val="28"/>
        </w:rPr>
        <w:t xml:space="preserve">, </w:t>
      </w:r>
      <w:r w:rsidRPr="00CA1CB9">
        <w:rPr>
          <w:rFonts w:cs="Times New Roman"/>
          <w:color w:val="000000"/>
          <w:spacing w:val="11"/>
          <w:szCs w:val="28"/>
        </w:rPr>
        <w:t xml:space="preserve"> </w:t>
      </w:r>
      <w:r w:rsidRPr="00CA1CB9">
        <w:rPr>
          <w:rFonts w:cs="Times New Roman"/>
          <w:color w:val="000000"/>
          <w:w w:val="109"/>
          <w:szCs w:val="28"/>
        </w:rPr>
        <w:t>London</w:t>
      </w:r>
      <w:proofErr w:type="gramEnd"/>
      <w:r w:rsidRPr="00CA1CB9">
        <w:rPr>
          <w:rFonts w:cs="Times New Roman"/>
          <w:color w:val="000000"/>
          <w:w w:val="109"/>
          <w:szCs w:val="28"/>
        </w:rPr>
        <w:t>.</w:t>
      </w:r>
    </w:p>
    <w:p w:rsidR="00CA1CB9" w:rsidRDefault="00CA1CB9"/>
    <w:sectPr w:rsidR="00CA1CB9" w:rsidSect="00B021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E376E4"/>
    <w:multiLevelType w:val="hybridMultilevel"/>
    <w:tmpl w:val="A84873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E59D3"/>
    <w:rsid w:val="00332435"/>
    <w:rsid w:val="00B02172"/>
    <w:rsid w:val="00BE59D3"/>
    <w:rsid w:val="00CA1C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E59D3"/>
    <w:pPr>
      <w:ind w:left="720"/>
      <w:contextualSpacing/>
    </w:pPr>
    <w:rPr>
      <w:rFonts w:ascii="Times New Roman" w:eastAsiaTheme="minorHAnsi" w:hAnsi="Times New Roman"/>
      <w:sz w:val="28"/>
    </w:rPr>
  </w:style>
  <w:style w:type="table" w:styleId="TableGrid">
    <w:name w:val="Table Grid"/>
    <w:basedOn w:val="TableNormal"/>
    <w:uiPriority w:val="59"/>
    <w:rsid w:val="00BE59D3"/>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ca.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2018-10-19T07:35:00Z</dcterms:created>
  <dcterms:modified xsi:type="dcterms:W3CDTF">2018-10-19T07:52:00Z</dcterms:modified>
</cp:coreProperties>
</file>