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4570" w:rsidRPr="009953F9" w:rsidRDefault="00894570" w:rsidP="009953F9">
      <w:pPr>
        <w:shd w:val="clear" w:color="auto" w:fill="FFFFFF"/>
        <w:spacing w:after="100" w:afterAutospacing="1" w:line="300" w:lineRule="atLeast"/>
        <w:jc w:val="center"/>
        <w:outlineLvl w:val="0"/>
        <w:rPr>
          <w:rFonts w:ascii="Open Sans" w:eastAsia="Times New Roman" w:hAnsi="Open Sans" w:cs="Open Sans"/>
          <w:b/>
          <w:bCs/>
          <w:color w:val="212529"/>
          <w:spacing w:val="2"/>
          <w:kern w:val="36"/>
          <w:sz w:val="33"/>
          <w:szCs w:val="33"/>
          <w14:ligatures w14:val="none"/>
        </w:rPr>
      </w:pPr>
      <w:r w:rsidRPr="009953F9">
        <w:rPr>
          <w:rFonts w:ascii="Open Sans" w:eastAsia="Times New Roman" w:hAnsi="Open Sans" w:cs="Open Sans"/>
          <w:b/>
          <w:bCs/>
          <w:color w:val="212529"/>
          <w:spacing w:val="2"/>
          <w:kern w:val="36"/>
          <w:sz w:val="33"/>
          <w:szCs w:val="33"/>
          <w14:ligatures w14:val="none"/>
        </w:rPr>
        <w:t>Hướng dẫn cách tính thuế TNCN 2024 từ tiền lương, tiền công</w:t>
      </w:r>
    </w:p>
    <w:p w:rsidR="00894570" w:rsidRPr="00894570" w:rsidRDefault="00894570" w:rsidP="00894570">
      <w:pPr>
        <w:shd w:val="clear" w:color="auto" w:fill="FFFFFF"/>
        <w:spacing w:after="100" w:afterAutospacing="1" w:line="300" w:lineRule="atLeast"/>
        <w:jc w:val="both"/>
        <w:outlineLvl w:val="1"/>
        <w:rPr>
          <w:rFonts w:ascii="Open Sans" w:eastAsia="Times New Roman" w:hAnsi="Open Sans" w:cs="Open Sans"/>
          <w:color w:val="212529"/>
          <w:spacing w:val="2"/>
          <w:kern w:val="0"/>
          <w:sz w:val="36"/>
          <w:szCs w:val="36"/>
          <w14:ligatures w14:val="none"/>
        </w:rPr>
      </w:pPr>
      <w:r w:rsidRPr="00894570">
        <w:rPr>
          <w:rFonts w:ascii="Arial" w:eastAsia="Times New Roman" w:hAnsi="Arial" w:cs="Arial"/>
          <w:b/>
          <w:bCs/>
          <w:color w:val="000000"/>
          <w:spacing w:val="2"/>
          <w:kern w:val="0"/>
          <w:sz w:val="21"/>
          <w:szCs w:val="21"/>
          <w:shd w:val="clear" w:color="auto" w:fill="FFFFFF"/>
          <w14:ligatures w14:val="none"/>
        </w:rPr>
        <w:t>1. Đối tượng phải nộp thuế TNCN 2024</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000000"/>
          <w:spacing w:val="2"/>
          <w:kern w:val="0"/>
          <w:sz w:val="21"/>
          <w:szCs w:val="21"/>
          <w:shd w:val="clear" w:color="auto" w:fill="FFFFFF"/>
          <w14:ligatures w14:val="none"/>
        </w:rPr>
        <w:t>Đối tượng phải nộp thuế thu nhập cá nhân (TNCN) trong năm 2024 được quy định tại Điều 2</w:t>
      </w:r>
      <w:r w:rsidR="009953F9">
        <w:rPr>
          <w:rFonts w:ascii="Arial" w:eastAsia="Times New Roman" w:hAnsi="Arial" w:cs="Arial"/>
          <w:color w:val="000000"/>
          <w:spacing w:val="2"/>
          <w:kern w:val="0"/>
          <w:sz w:val="21"/>
          <w:szCs w:val="21"/>
          <w:shd w:val="clear" w:color="auto" w:fill="FFFFFF"/>
          <w:lang w:val="vi-VN"/>
          <w14:ligatures w14:val="none"/>
        </w:rPr>
        <w:t xml:space="preserve"> Luật thuế thu nhập cá nhân 2007, </w:t>
      </w:r>
      <w:r w:rsidRPr="00894570">
        <w:rPr>
          <w:rFonts w:ascii="Arial" w:eastAsia="Times New Roman" w:hAnsi="Arial" w:cs="Arial"/>
          <w:color w:val="212529"/>
          <w:spacing w:val="2"/>
          <w:kern w:val="0"/>
          <w:sz w:val="21"/>
          <w:szCs w:val="21"/>
          <w:shd w:val="clear" w:color="auto" w:fill="FFFFFF"/>
          <w14:ligatures w14:val="none"/>
        </w:rPr>
        <w:t>cụ thể </w:t>
      </w:r>
      <w:r w:rsidRPr="00894570">
        <w:rPr>
          <w:rFonts w:ascii="Arial" w:eastAsia="Times New Roman" w:hAnsi="Arial" w:cs="Arial"/>
          <w:color w:val="000000"/>
          <w:spacing w:val="2"/>
          <w:kern w:val="0"/>
          <w:sz w:val="21"/>
          <w:szCs w:val="21"/>
          <w:shd w:val="clear" w:color="auto" w:fill="FFFFFF"/>
          <w14:ligatures w14:val="none"/>
        </w:rPr>
        <w:t>bao gồm 02 nhóm đối tượng sau:</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212529"/>
          <w:spacing w:val="2"/>
          <w:kern w:val="0"/>
          <w:sz w:val="21"/>
          <w:szCs w:val="21"/>
          <w:shd w:val="clear" w:color="auto" w:fill="FFFFFF"/>
          <w14:ligatures w14:val="none"/>
        </w:rPr>
        <w:t>(i) </w:t>
      </w:r>
      <w:r w:rsidRPr="00894570">
        <w:rPr>
          <w:rFonts w:ascii="Arial" w:eastAsia="Times New Roman" w:hAnsi="Arial" w:cs="Arial"/>
          <w:color w:val="000000"/>
          <w:spacing w:val="2"/>
          <w:kern w:val="0"/>
          <w:sz w:val="21"/>
          <w:szCs w:val="21"/>
          <w:shd w:val="clear" w:color="auto" w:fill="FFFFFF"/>
          <w14:ligatures w14:val="none"/>
        </w:rPr>
        <w:t>Cá nhân cư trú có thu nhập chịu thuế TNCN phát sinh trong và ngoài lãnh thổ Việt Nam.</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212529"/>
          <w:spacing w:val="2"/>
          <w:kern w:val="0"/>
          <w:sz w:val="21"/>
          <w:szCs w:val="21"/>
          <w:shd w:val="clear" w:color="auto" w:fill="FFFFFF"/>
          <w14:ligatures w14:val="none"/>
        </w:rPr>
        <w:t>Cá nhân cư trú là người đáp ứng một trong các điều kiện sau đây:</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212529"/>
          <w:spacing w:val="2"/>
          <w:kern w:val="0"/>
          <w:sz w:val="21"/>
          <w:szCs w:val="21"/>
          <w:shd w:val="clear" w:color="auto" w:fill="FFFFFF"/>
          <w14:ligatures w14:val="none"/>
        </w:rPr>
        <w:t>- Có mặt tại Việt Nam từ 183 ngày trở lên tính trong một năm dương lịch hoặc tính theo 12 tháng liên tục kể từ ngày đầu tiên có mặt tại Việt Nam;</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212529"/>
          <w:spacing w:val="2"/>
          <w:kern w:val="0"/>
          <w:sz w:val="21"/>
          <w:szCs w:val="21"/>
          <w:shd w:val="clear" w:color="auto" w:fill="FFFFFF"/>
          <w14:ligatures w14:val="none"/>
        </w:rPr>
        <w:t>- Có nơi ở thường xuyên tại Việt Nam, bao gồm có nơi ở đăng ký thường trú hoặc có nhà thuê để ở tại Việt Nam theo hợp đồng thuê có thời hạn.</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000000"/>
          <w:spacing w:val="2"/>
          <w:kern w:val="0"/>
          <w:sz w:val="21"/>
          <w:szCs w:val="21"/>
          <w:shd w:val="clear" w:color="auto" w:fill="FFFFFF"/>
          <w14:ligatures w14:val="none"/>
        </w:rPr>
        <w:t>(ii) Cá nhân không cư trú có thu nhập chịu thuế TNCN phát sinh trong lãnh thổ Việt Nam.</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212529"/>
          <w:spacing w:val="2"/>
          <w:kern w:val="0"/>
          <w:sz w:val="21"/>
          <w:szCs w:val="21"/>
          <w:shd w:val="clear" w:color="auto" w:fill="FFFFFF"/>
          <w14:ligatures w14:val="none"/>
        </w:rPr>
        <w:t>Cá nhân không cư trú là người không đáp ứng điều kiện nêu tại đoạn (i) bên trên.</w:t>
      </w:r>
    </w:p>
    <w:p w:rsidR="00894570" w:rsidRPr="00894570" w:rsidRDefault="00894570" w:rsidP="00894570">
      <w:pPr>
        <w:shd w:val="clear" w:color="auto" w:fill="FFFFFF"/>
        <w:spacing w:after="100" w:afterAutospacing="1" w:line="300" w:lineRule="atLeast"/>
        <w:jc w:val="both"/>
        <w:outlineLvl w:val="1"/>
        <w:rPr>
          <w:rFonts w:ascii="Open Sans" w:eastAsia="Times New Roman" w:hAnsi="Open Sans" w:cs="Open Sans"/>
          <w:color w:val="212529"/>
          <w:spacing w:val="2"/>
          <w:kern w:val="0"/>
          <w:sz w:val="36"/>
          <w:szCs w:val="36"/>
          <w14:ligatures w14:val="none"/>
        </w:rPr>
      </w:pPr>
      <w:r w:rsidRPr="00894570">
        <w:rPr>
          <w:rFonts w:ascii="Arial" w:eastAsia="Times New Roman" w:hAnsi="Arial" w:cs="Arial"/>
          <w:b/>
          <w:bCs/>
          <w:color w:val="212529"/>
          <w:spacing w:val="2"/>
          <w:kern w:val="0"/>
          <w:sz w:val="21"/>
          <w:szCs w:val="21"/>
          <w14:ligatures w14:val="none"/>
        </w:rPr>
        <w:t>2. Hướng dẫn cách tính TNCN 2024 từ tiền lương, tiền công</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000000"/>
          <w:spacing w:val="2"/>
          <w:kern w:val="0"/>
          <w:sz w:val="21"/>
          <w:szCs w:val="21"/>
          <w:shd w:val="clear" w:color="auto" w:fill="FFFFFF"/>
          <w14:ligatures w14:val="none"/>
        </w:rPr>
        <w:t>Thuế TNCN 2024 từ tiền lương, tiền công giữa cá nhân cư trú với cá nhân không cư trú có một số khác biệt trong cách tính, cụ thể:</w:t>
      </w:r>
    </w:p>
    <w:p w:rsidR="00894570" w:rsidRPr="00894570" w:rsidRDefault="00894570" w:rsidP="00894570">
      <w:pPr>
        <w:shd w:val="clear" w:color="auto" w:fill="FFFFFF"/>
        <w:spacing w:after="100" w:afterAutospacing="1" w:line="300" w:lineRule="atLeast"/>
        <w:jc w:val="both"/>
        <w:outlineLvl w:val="2"/>
        <w:rPr>
          <w:rFonts w:ascii="Open Sans" w:eastAsia="Times New Roman" w:hAnsi="Open Sans" w:cs="Open Sans"/>
          <w:color w:val="212529"/>
          <w:spacing w:val="2"/>
          <w:kern w:val="0"/>
          <w:sz w:val="27"/>
          <w:szCs w:val="27"/>
          <w14:ligatures w14:val="none"/>
        </w:rPr>
      </w:pPr>
      <w:r w:rsidRPr="00894570">
        <w:rPr>
          <w:rFonts w:ascii="Arial" w:eastAsia="Times New Roman" w:hAnsi="Arial" w:cs="Arial"/>
          <w:b/>
          <w:bCs/>
          <w:color w:val="000000"/>
          <w:spacing w:val="2"/>
          <w:kern w:val="0"/>
          <w:sz w:val="21"/>
          <w:szCs w:val="21"/>
          <w:shd w:val="clear" w:color="auto" w:fill="FFFFFF"/>
          <w14:ligatures w14:val="none"/>
        </w:rPr>
        <w:t>2.1. Đối với cá nhân cư trú</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b/>
          <w:bCs/>
          <w:color w:val="000000"/>
          <w:spacing w:val="2"/>
          <w:kern w:val="0"/>
          <w:sz w:val="21"/>
          <w:szCs w:val="21"/>
          <w:u w:val="single"/>
          <w:shd w:val="clear" w:color="auto" w:fill="FFFFFF"/>
          <w14:ligatures w14:val="none"/>
        </w:rPr>
        <w:t>Trường hợp 1:</w:t>
      </w:r>
      <w:r w:rsidRPr="00894570">
        <w:rPr>
          <w:rFonts w:ascii="Arial" w:eastAsia="Times New Roman" w:hAnsi="Arial" w:cs="Arial"/>
          <w:color w:val="000000"/>
          <w:spacing w:val="2"/>
          <w:kern w:val="0"/>
          <w:sz w:val="21"/>
          <w:szCs w:val="21"/>
          <w:shd w:val="clear" w:color="auto" w:fill="FFFFFF"/>
          <w14:ligatures w14:val="none"/>
        </w:rPr>
        <w:t> Cá nhân cư trú ký hợp đồng lao động từ 03 tháng trở lên</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000000"/>
          <w:spacing w:val="2"/>
          <w:kern w:val="0"/>
          <w:sz w:val="21"/>
          <w:szCs w:val="21"/>
          <w:shd w:val="clear" w:color="auto" w:fill="FFFFFF"/>
          <w14:ligatures w14:val="none"/>
        </w:rPr>
        <w:t>Theo quy định tại Điều 2, 3, 7, 8</w:t>
      </w:r>
      <w:r w:rsidR="009953F9">
        <w:rPr>
          <w:rFonts w:ascii="Arial" w:eastAsia="Times New Roman" w:hAnsi="Arial" w:cs="Arial"/>
          <w:color w:val="000000"/>
          <w:spacing w:val="2"/>
          <w:kern w:val="0"/>
          <w:sz w:val="21"/>
          <w:szCs w:val="21"/>
          <w:shd w:val="clear" w:color="auto" w:fill="FFFFFF"/>
          <w:lang w:val="vi-VN"/>
          <w14:ligatures w14:val="none"/>
        </w:rPr>
        <w:t xml:space="preserve"> Thông tư 111/2023/TT-BTC, </w:t>
      </w:r>
      <w:r w:rsidRPr="00894570">
        <w:rPr>
          <w:rFonts w:ascii="Arial" w:eastAsia="Times New Roman" w:hAnsi="Arial" w:cs="Arial"/>
          <w:color w:val="000000"/>
          <w:spacing w:val="2"/>
          <w:kern w:val="0"/>
          <w:sz w:val="21"/>
          <w:szCs w:val="21"/>
          <w:shd w:val="clear" w:color="auto" w:fill="FFFFFF"/>
          <w14:ligatures w14:val="none"/>
        </w:rPr>
        <w:t> thuế TNCN từ tiền lương, tiền công của cá nhân cư trú được xác định theo công thức sau:</w:t>
      </w:r>
    </w:p>
    <w:tbl>
      <w:tblPr>
        <w:tblW w:w="0" w:type="auto"/>
        <w:jc w:val="center"/>
        <w:tblCellMar>
          <w:top w:w="75" w:type="dxa"/>
          <w:left w:w="75" w:type="dxa"/>
          <w:bottom w:w="75" w:type="dxa"/>
          <w:right w:w="75" w:type="dxa"/>
        </w:tblCellMar>
        <w:tblLook w:val="04A0" w:firstRow="1" w:lastRow="0" w:firstColumn="1" w:lastColumn="0" w:noHBand="0" w:noVBand="1"/>
      </w:tblPr>
      <w:tblGrid>
        <w:gridCol w:w="2655"/>
        <w:gridCol w:w="570"/>
        <w:gridCol w:w="2520"/>
        <w:gridCol w:w="1020"/>
        <w:gridCol w:w="1275"/>
      </w:tblGrid>
      <w:tr w:rsidR="00894570" w:rsidRPr="00894570" w:rsidTr="00894570">
        <w:trPr>
          <w:jc w:val="center"/>
        </w:trPr>
        <w:tc>
          <w:tcPr>
            <w:tcW w:w="2655" w:type="dxa"/>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Times New Roman" w:eastAsia="Times New Roman" w:hAnsi="Times New Roman" w:cs="Times New Roman"/>
                <w:b/>
                <w:bCs/>
                <w:color w:val="000000"/>
                <w:kern w:val="0"/>
                <w:sz w:val="21"/>
                <w:szCs w:val="21"/>
                <w14:ligatures w14:val="none"/>
              </w:rPr>
              <w:t>Thuế TNCN từ tiền lương, tiền công</w:t>
            </w:r>
          </w:p>
        </w:tc>
        <w:tc>
          <w:tcPr>
            <w:tcW w:w="570" w:type="dxa"/>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Times New Roman" w:eastAsia="Times New Roman" w:hAnsi="Times New Roman" w:cs="Times New Roman"/>
                <w:color w:val="000000"/>
                <w:kern w:val="0"/>
                <w:sz w:val="21"/>
                <w:szCs w:val="21"/>
                <w14:ligatures w14:val="none"/>
              </w:rPr>
              <w:t>=</w:t>
            </w:r>
          </w:p>
        </w:tc>
        <w:tc>
          <w:tcPr>
            <w:tcW w:w="2520" w:type="dxa"/>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Times New Roman" w:eastAsia="Times New Roman" w:hAnsi="Times New Roman" w:cs="Times New Roman"/>
                <w:b/>
                <w:bCs/>
                <w:color w:val="000000"/>
                <w:kern w:val="0"/>
                <w:sz w:val="21"/>
                <w:szCs w:val="21"/>
                <w14:ligatures w14:val="none"/>
              </w:rPr>
              <w:t>Thu nhập tính thuế từ tiền lương, tiền công</w:t>
            </w:r>
          </w:p>
        </w:tc>
        <w:tc>
          <w:tcPr>
            <w:tcW w:w="1020" w:type="dxa"/>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Times New Roman" w:eastAsia="Times New Roman" w:hAnsi="Times New Roman" w:cs="Times New Roman"/>
                <w:color w:val="000000"/>
                <w:kern w:val="0"/>
                <w:sz w:val="21"/>
                <w:szCs w:val="21"/>
                <w14:ligatures w14:val="none"/>
              </w:rPr>
              <w:t>x</w:t>
            </w:r>
          </w:p>
        </w:tc>
        <w:tc>
          <w:tcPr>
            <w:tcW w:w="1275" w:type="dxa"/>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Times New Roman" w:eastAsia="Times New Roman" w:hAnsi="Times New Roman" w:cs="Times New Roman"/>
                <w:b/>
                <w:bCs/>
                <w:color w:val="000000"/>
                <w:kern w:val="0"/>
                <w:sz w:val="21"/>
                <w:szCs w:val="21"/>
                <w:shd w:val="clear" w:color="auto" w:fill="FFFFFF"/>
                <w14:ligatures w14:val="none"/>
              </w:rPr>
              <w:t>Thuế suất</w:t>
            </w:r>
          </w:p>
        </w:tc>
      </w:tr>
    </w:tbl>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b/>
          <w:bCs/>
          <w:color w:val="000000"/>
          <w:spacing w:val="2"/>
          <w:kern w:val="0"/>
          <w:sz w:val="21"/>
          <w:szCs w:val="21"/>
          <w:shd w:val="clear" w:color="auto" w:fill="FFFFFF"/>
          <w14:ligatures w14:val="none"/>
        </w:rPr>
        <w:t>Trong đó:</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i/>
          <w:iCs/>
          <w:color w:val="000000"/>
          <w:spacing w:val="2"/>
          <w:kern w:val="0"/>
          <w:sz w:val="21"/>
          <w:szCs w:val="21"/>
          <w:shd w:val="clear" w:color="auto" w:fill="FFFFFF"/>
          <w14:ligatures w14:val="none"/>
        </w:rPr>
        <w:t>(i) Thu nhập tính thuế từ tiền lương, tiền công được xác định bằng thu nhập chịu thuế từ tiền lương, tiền công trừ đi (-) các khoản giảm trừ</w:t>
      </w:r>
    </w:p>
    <w:p w:rsidR="009953F9" w:rsidRDefault="00894570" w:rsidP="00894570">
      <w:pPr>
        <w:shd w:val="clear" w:color="auto" w:fill="FFFFFF"/>
        <w:spacing w:after="120" w:line="375" w:lineRule="atLeast"/>
        <w:jc w:val="both"/>
        <w:rPr>
          <w:rFonts w:ascii="Arial" w:eastAsia="Times New Roman" w:hAnsi="Arial" w:cs="Arial"/>
          <w:color w:val="000000"/>
          <w:spacing w:val="2"/>
          <w:kern w:val="0"/>
          <w:sz w:val="21"/>
          <w:szCs w:val="21"/>
          <w:lang w:val="vi-VN"/>
          <w14:ligatures w14:val="none"/>
        </w:rPr>
      </w:pPr>
      <w:r w:rsidRPr="00894570">
        <w:rPr>
          <w:rFonts w:ascii="Arial" w:eastAsia="Times New Roman" w:hAnsi="Arial" w:cs="Arial"/>
          <w:color w:val="000000"/>
          <w:spacing w:val="2"/>
          <w:kern w:val="0"/>
          <w:sz w:val="21"/>
          <w:szCs w:val="21"/>
          <w14:ligatures w14:val="none"/>
        </w:rPr>
        <w:lastRenderedPageBreak/>
        <w:t>- Thu nhập chịu thuế từ tiền lương, tiền công: được xác định bằng tổng số tiền lương, tiền công, tiền thù lao, các khoản thu nhập khác có tính chất tiền lương, tiền công mà người nộp thuế nhận được trong kỳ tính thuế</w:t>
      </w:r>
      <w:r w:rsidR="009953F9">
        <w:rPr>
          <w:rFonts w:ascii="Arial" w:eastAsia="Times New Roman" w:hAnsi="Arial" w:cs="Arial"/>
          <w:color w:val="000000"/>
          <w:spacing w:val="2"/>
          <w:kern w:val="0"/>
          <w:sz w:val="21"/>
          <w:szCs w:val="21"/>
          <w:lang w:val="vi-VN"/>
          <w14:ligatures w14:val="none"/>
        </w:rPr>
        <w:t>.</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000000"/>
          <w:spacing w:val="2"/>
          <w:kern w:val="0"/>
          <w:sz w:val="21"/>
          <w:szCs w:val="21"/>
          <w14:ligatures w14:val="none"/>
        </w:rPr>
        <w:t>Đồng thời thu nhập chịu thuế từ tiền lương, tiền công sẽ không bao gồm những thu nhập được miễn thuế sau đây:</w:t>
      </w:r>
    </w:p>
    <w:p w:rsidR="009953F9" w:rsidRDefault="00894570" w:rsidP="00894570">
      <w:pPr>
        <w:shd w:val="clear" w:color="auto" w:fill="FFFFFF"/>
        <w:spacing w:after="120" w:line="375" w:lineRule="atLeast"/>
        <w:jc w:val="both"/>
        <w:rPr>
          <w:rFonts w:ascii="Arial" w:eastAsia="Times New Roman" w:hAnsi="Arial" w:cs="Arial"/>
          <w:color w:val="000000"/>
          <w:spacing w:val="2"/>
          <w:kern w:val="0"/>
          <w:sz w:val="21"/>
          <w:szCs w:val="21"/>
          <w:lang w:val="vi-VN"/>
          <w14:ligatures w14:val="none"/>
        </w:rPr>
      </w:pPr>
      <w:r w:rsidRPr="00894570">
        <w:rPr>
          <w:rFonts w:ascii="Arial" w:eastAsia="Times New Roman" w:hAnsi="Arial" w:cs="Arial"/>
          <w:color w:val="000000"/>
          <w:spacing w:val="2"/>
          <w:kern w:val="0"/>
          <w:sz w:val="21"/>
          <w:szCs w:val="21"/>
          <w14:ligatures w14:val="none"/>
        </w:rPr>
        <w:t>+ Thu nhập từ phần tiền lương, tiền công làm việc ban đêm, làm thêm giờ được trả cao hơn so với tiền lương, tiền công làm việc ban ngày, làm việc trong giờ theo quy định của</w:t>
      </w:r>
      <w:r w:rsidR="009953F9">
        <w:rPr>
          <w:rFonts w:ascii="Arial" w:eastAsia="Times New Roman" w:hAnsi="Arial" w:cs="Arial"/>
          <w:color w:val="000000"/>
          <w:spacing w:val="2"/>
          <w:kern w:val="0"/>
          <w:sz w:val="21"/>
          <w:szCs w:val="21"/>
          <w:lang w:val="vi-VN"/>
          <w14:ligatures w14:val="none"/>
        </w:rPr>
        <w:t xml:space="preserve"> Bộ luật Lao động.</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000000"/>
          <w:spacing w:val="2"/>
          <w:kern w:val="0"/>
          <w:sz w:val="21"/>
          <w:szCs w:val="21"/>
          <w14:ligatures w14:val="none"/>
        </w:rPr>
        <w:t>Cụ thể như sau: Phần tiền lương, tiền công trả cao hơn do phải làm việc ban đêm, làm thêm giờ được miễn thuế căn cứ vào tiền lương, tiền công thực trả do phải làm đêm, thêm giờ trừ (-) đi mức tiền lương, tiền công tính theo ngày làm việc bình thường.</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000000"/>
          <w:spacing w:val="2"/>
          <w:kern w:val="0"/>
          <w:sz w:val="21"/>
          <w:szCs w:val="21"/>
          <w14:ligatures w14:val="none"/>
        </w:rPr>
        <w:t>+ Tiền lương hưu do Quỹ bảo hiểm xã hội trả theo quy định của</w:t>
      </w:r>
      <w:r w:rsidR="009953F9">
        <w:rPr>
          <w:rFonts w:ascii="Arial" w:eastAsia="Times New Roman" w:hAnsi="Arial" w:cs="Arial"/>
          <w:color w:val="000000"/>
          <w:spacing w:val="2"/>
          <w:kern w:val="0"/>
          <w:sz w:val="21"/>
          <w:szCs w:val="21"/>
          <w:lang w:val="vi-VN"/>
          <w14:ligatures w14:val="none"/>
        </w:rPr>
        <w:t xml:space="preserve"> Luật Bảo hiểm xã; </w:t>
      </w:r>
      <w:r w:rsidRPr="00894570">
        <w:rPr>
          <w:rFonts w:ascii="Arial" w:eastAsia="Times New Roman" w:hAnsi="Arial" w:cs="Arial"/>
          <w:color w:val="000000"/>
          <w:spacing w:val="2"/>
          <w:kern w:val="0"/>
          <w:sz w:val="21"/>
          <w:szCs w:val="21"/>
          <w14:ligatures w14:val="none"/>
        </w:rPr>
        <w:t>tiền lương hưu nhận được hàng tháng từ Quỹ hưu trí tự nguyện. Cá nhân sinh sống, làm việc tại Việt Nam được miễn thuế đối với tiền lương hưu được trả từ nước ngoài.</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000000"/>
          <w:spacing w:val="2"/>
          <w:kern w:val="0"/>
          <w:sz w:val="21"/>
          <w:szCs w:val="21"/>
          <w14:ligatures w14:val="none"/>
        </w:rPr>
        <w:t>+ Thu nhập từ tiền lương, tiền công của thuyền viên là người Việt Nam nhận được do làm việc cho các hãng tàu nước ngoài hoặc các hãng tàu Việt Nam vận tải quốc tế.</w:t>
      </w:r>
    </w:p>
    <w:p w:rsidR="009953F9" w:rsidRPr="009953F9" w:rsidRDefault="00894570" w:rsidP="00894570">
      <w:pPr>
        <w:shd w:val="clear" w:color="auto" w:fill="FFFFFF"/>
        <w:spacing w:after="120" w:line="375" w:lineRule="atLeast"/>
        <w:jc w:val="both"/>
        <w:rPr>
          <w:rFonts w:ascii="Arial" w:eastAsia="Times New Roman" w:hAnsi="Arial" w:cs="Arial"/>
          <w:color w:val="000000"/>
          <w:spacing w:val="2"/>
          <w:kern w:val="0"/>
          <w:sz w:val="21"/>
          <w:szCs w:val="21"/>
          <w:lang w:val="vi-VN"/>
          <w14:ligatures w14:val="none"/>
        </w:rPr>
      </w:pPr>
      <w:r w:rsidRPr="00894570">
        <w:rPr>
          <w:rFonts w:ascii="Arial" w:eastAsia="Times New Roman" w:hAnsi="Arial" w:cs="Arial"/>
          <w:color w:val="000000"/>
          <w:spacing w:val="2"/>
          <w:kern w:val="0"/>
          <w:sz w:val="21"/>
          <w:szCs w:val="21"/>
          <w14:ligatures w14:val="none"/>
        </w:rPr>
        <w:t xml:space="preserve">- Các khoản giảm trừ bao gồm: các khoản giảm trừ gia cảnh, các khoản đóng bảo hiểm, quỹ hưu trí tự nguyện và các khoản đóng góp từ thiện, nhân đạo, khuyến </w:t>
      </w:r>
      <w:r w:rsidR="009953F9">
        <w:rPr>
          <w:rFonts w:ascii="Arial" w:eastAsia="Times New Roman" w:hAnsi="Arial" w:cs="Arial"/>
          <w:color w:val="000000"/>
          <w:spacing w:val="2"/>
          <w:kern w:val="0"/>
          <w:sz w:val="21"/>
          <w:szCs w:val="21"/>
          <w14:ligatures w14:val="none"/>
        </w:rPr>
        <w:t>học</w:t>
      </w:r>
      <w:r w:rsidR="009953F9">
        <w:rPr>
          <w:rFonts w:ascii="Arial" w:eastAsia="Times New Roman" w:hAnsi="Arial" w:cs="Arial"/>
          <w:color w:val="000000"/>
          <w:spacing w:val="2"/>
          <w:kern w:val="0"/>
          <w:sz w:val="21"/>
          <w:szCs w:val="21"/>
          <w:lang w:val="vi-VN"/>
          <w14:ligatures w14:val="none"/>
        </w:rPr>
        <w:t>.</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i/>
          <w:iCs/>
          <w:color w:val="000000"/>
          <w:spacing w:val="2"/>
          <w:kern w:val="0"/>
          <w:sz w:val="21"/>
          <w:szCs w:val="21"/>
          <w14:ligatures w14:val="none"/>
        </w:rPr>
        <w:t>(ii) Thuế suất được xác định thông qua Biểu thuế lũy tiến từng phần sau đây:</w:t>
      </w:r>
    </w:p>
    <w:tbl>
      <w:tblPr>
        <w:tblW w:w="10500" w:type="dxa"/>
        <w:jc w:val="center"/>
        <w:shd w:val="clear" w:color="auto" w:fill="FFFFFF"/>
        <w:tblCellMar>
          <w:top w:w="75" w:type="dxa"/>
          <w:left w:w="75" w:type="dxa"/>
          <w:bottom w:w="75" w:type="dxa"/>
          <w:right w:w="75" w:type="dxa"/>
        </w:tblCellMar>
        <w:tblLook w:val="04A0" w:firstRow="1" w:lastRow="0" w:firstColumn="1" w:lastColumn="0" w:noHBand="0" w:noVBand="1"/>
      </w:tblPr>
      <w:tblGrid>
        <w:gridCol w:w="1083"/>
        <w:gridCol w:w="4001"/>
        <w:gridCol w:w="3669"/>
        <w:gridCol w:w="1747"/>
      </w:tblGrid>
      <w:tr w:rsidR="00894570" w:rsidRPr="00894570" w:rsidTr="00894570">
        <w:trPr>
          <w:trHeight w:val="720"/>
          <w:jc w:val="center"/>
        </w:trPr>
        <w:tc>
          <w:tcPr>
            <w:tcW w:w="930" w:type="dxa"/>
            <w:tcBorders>
              <w:top w:val="single" w:sz="6" w:space="0" w:color="000000"/>
              <w:left w:val="single" w:sz="6" w:space="0" w:color="000000"/>
              <w:bottom w:val="single" w:sz="6" w:space="0" w:color="000000"/>
              <w:right w:val="single" w:sz="6" w:space="0" w:color="000000"/>
            </w:tcBorders>
            <w:shd w:val="clear" w:color="auto" w:fill="66CCFF"/>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kern w:val="0"/>
                <w:sz w:val="21"/>
                <w:szCs w:val="21"/>
                <w14:ligatures w14:val="none"/>
              </w:rPr>
              <w:t>Bậc thuế</w:t>
            </w:r>
          </w:p>
        </w:tc>
        <w:tc>
          <w:tcPr>
            <w:tcW w:w="3435" w:type="dxa"/>
            <w:tcBorders>
              <w:top w:val="single" w:sz="6" w:space="0" w:color="000000"/>
              <w:left w:val="nil"/>
              <w:bottom w:val="single" w:sz="6" w:space="0" w:color="000000"/>
              <w:right w:val="single" w:sz="6" w:space="0" w:color="000000"/>
            </w:tcBorders>
            <w:shd w:val="clear" w:color="auto" w:fill="66CCFF"/>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kern w:val="0"/>
                <w:sz w:val="21"/>
                <w:szCs w:val="21"/>
                <w14:ligatures w14:val="none"/>
              </w:rPr>
              <w:t>Phần thu nhập tính thuế/năm (triệu đồng)</w:t>
            </w:r>
          </w:p>
        </w:tc>
        <w:tc>
          <w:tcPr>
            <w:tcW w:w="3150" w:type="dxa"/>
            <w:tcBorders>
              <w:top w:val="single" w:sz="6" w:space="0" w:color="000000"/>
              <w:left w:val="nil"/>
              <w:bottom w:val="single" w:sz="6" w:space="0" w:color="000000"/>
              <w:right w:val="single" w:sz="6" w:space="0" w:color="000000"/>
            </w:tcBorders>
            <w:shd w:val="clear" w:color="auto" w:fill="66CCFF"/>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kern w:val="0"/>
                <w:sz w:val="21"/>
                <w:szCs w:val="21"/>
                <w14:ligatures w14:val="none"/>
              </w:rPr>
              <w:t>Phần thu nhập tính thuế/tháng (triệu đồng)</w:t>
            </w:r>
          </w:p>
        </w:tc>
        <w:tc>
          <w:tcPr>
            <w:tcW w:w="1500" w:type="dxa"/>
            <w:tcBorders>
              <w:top w:val="single" w:sz="6" w:space="0" w:color="000000"/>
              <w:left w:val="nil"/>
              <w:bottom w:val="single" w:sz="6" w:space="0" w:color="000000"/>
              <w:right w:val="single" w:sz="6" w:space="0" w:color="000000"/>
            </w:tcBorders>
            <w:shd w:val="clear" w:color="auto" w:fill="66CCFF"/>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kern w:val="0"/>
                <w:sz w:val="21"/>
                <w:szCs w:val="21"/>
                <w14:ligatures w14:val="none"/>
              </w:rPr>
              <w:t>Thuế suất (%)</w:t>
            </w:r>
          </w:p>
        </w:tc>
      </w:tr>
      <w:tr w:rsidR="00894570" w:rsidRPr="00894570" w:rsidTr="00894570">
        <w:trPr>
          <w:trHeight w:val="405"/>
          <w:jc w:val="center"/>
        </w:trPr>
        <w:tc>
          <w:tcPr>
            <w:tcW w:w="930" w:type="dxa"/>
            <w:tcBorders>
              <w:top w:val="nil"/>
              <w:left w:val="single" w:sz="6" w:space="0" w:color="000000"/>
              <w:bottom w:val="single" w:sz="6" w:space="0" w:color="000000"/>
              <w:right w:val="single" w:sz="6" w:space="0" w:color="000000"/>
            </w:tcBorders>
            <w:shd w:val="clear" w:color="auto" w:fill="FFFFFF"/>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1</w:t>
            </w:r>
          </w:p>
        </w:tc>
        <w:tc>
          <w:tcPr>
            <w:tcW w:w="3435"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Đến 60</w:t>
            </w:r>
          </w:p>
        </w:tc>
        <w:tc>
          <w:tcPr>
            <w:tcW w:w="3150"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Đến 5</w:t>
            </w:r>
          </w:p>
        </w:tc>
        <w:tc>
          <w:tcPr>
            <w:tcW w:w="1500"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5</w:t>
            </w:r>
          </w:p>
        </w:tc>
      </w:tr>
      <w:tr w:rsidR="00894570" w:rsidRPr="00894570" w:rsidTr="00894570">
        <w:trPr>
          <w:trHeight w:val="420"/>
          <w:jc w:val="center"/>
        </w:trPr>
        <w:tc>
          <w:tcPr>
            <w:tcW w:w="930" w:type="dxa"/>
            <w:tcBorders>
              <w:top w:val="nil"/>
              <w:left w:val="single" w:sz="6" w:space="0" w:color="000000"/>
              <w:bottom w:val="single" w:sz="6" w:space="0" w:color="000000"/>
              <w:right w:val="single" w:sz="6" w:space="0" w:color="000000"/>
            </w:tcBorders>
            <w:shd w:val="clear" w:color="auto" w:fill="FFFFFF"/>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2</w:t>
            </w:r>
          </w:p>
        </w:tc>
        <w:tc>
          <w:tcPr>
            <w:tcW w:w="3435"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Trên 60 đến 120</w:t>
            </w:r>
          </w:p>
        </w:tc>
        <w:tc>
          <w:tcPr>
            <w:tcW w:w="3150"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Trên 5 đến 10</w:t>
            </w:r>
          </w:p>
        </w:tc>
        <w:tc>
          <w:tcPr>
            <w:tcW w:w="1500"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10</w:t>
            </w:r>
          </w:p>
        </w:tc>
      </w:tr>
      <w:tr w:rsidR="00894570" w:rsidRPr="00894570" w:rsidTr="00894570">
        <w:trPr>
          <w:trHeight w:val="405"/>
          <w:jc w:val="center"/>
        </w:trPr>
        <w:tc>
          <w:tcPr>
            <w:tcW w:w="930" w:type="dxa"/>
            <w:tcBorders>
              <w:top w:val="nil"/>
              <w:left w:val="single" w:sz="6" w:space="0" w:color="000000"/>
              <w:bottom w:val="single" w:sz="6" w:space="0" w:color="000000"/>
              <w:right w:val="single" w:sz="6" w:space="0" w:color="000000"/>
            </w:tcBorders>
            <w:shd w:val="clear" w:color="auto" w:fill="FFFFFF"/>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3</w:t>
            </w:r>
          </w:p>
        </w:tc>
        <w:tc>
          <w:tcPr>
            <w:tcW w:w="3435"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Trên 120 đến 216</w:t>
            </w:r>
          </w:p>
        </w:tc>
        <w:tc>
          <w:tcPr>
            <w:tcW w:w="3150"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Trên 10 đến 18</w:t>
            </w:r>
          </w:p>
        </w:tc>
        <w:tc>
          <w:tcPr>
            <w:tcW w:w="1500"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15</w:t>
            </w:r>
          </w:p>
        </w:tc>
      </w:tr>
      <w:tr w:rsidR="00894570" w:rsidRPr="00894570" w:rsidTr="00894570">
        <w:trPr>
          <w:trHeight w:val="405"/>
          <w:jc w:val="center"/>
        </w:trPr>
        <w:tc>
          <w:tcPr>
            <w:tcW w:w="930" w:type="dxa"/>
            <w:tcBorders>
              <w:top w:val="nil"/>
              <w:left w:val="single" w:sz="6" w:space="0" w:color="000000"/>
              <w:bottom w:val="single" w:sz="6" w:space="0" w:color="000000"/>
              <w:right w:val="single" w:sz="6" w:space="0" w:color="000000"/>
            </w:tcBorders>
            <w:shd w:val="clear" w:color="auto" w:fill="FFFFFF"/>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4</w:t>
            </w:r>
          </w:p>
        </w:tc>
        <w:tc>
          <w:tcPr>
            <w:tcW w:w="3435"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Trên 216 đến 384</w:t>
            </w:r>
          </w:p>
        </w:tc>
        <w:tc>
          <w:tcPr>
            <w:tcW w:w="3150"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Trên 18 đến 32</w:t>
            </w:r>
          </w:p>
        </w:tc>
        <w:tc>
          <w:tcPr>
            <w:tcW w:w="1500"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20</w:t>
            </w:r>
          </w:p>
        </w:tc>
      </w:tr>
      <w:tr w:rsidR="00894570" w:rsidRPr="00894570" w:rsidTr="00894570">
        <w:trPr>
          <w:trHeight w:val="405"/>
          <w:jc w:val="center"/>
        </w:trPr>
        <w:tc>
          <w:tcPr>
            <w:tcW w:w="930" w:type="dxa"/>
            <w:tcBorders>
              <w:top w:val="nil"/>
              <w:left w:val="single" w:sz="6" w:space="0" w:color="000000"/>
              <w:bottom w:val="single" w:sz="6" w:space="0" w:color="000000"/>
              <w:right w:val="single" w:sz="6" w:space="0" w:color="000000"/>
            </w:tcBorders>
            <w:shd w:val="clear" w:color="auto" w:fill="FFFFFF"/>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5</w:t>
            </w:r>
          </w:p>
        </w:tc>
        <w:tc>
          <w:tcPr>
            <w:tcW w:w="3435"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Trên 384 đến 624</w:t>
            </w:r>
          </w:p>
        </w:tc>
        <w:tc>
          <w:tcPr>
            <w:tcW w:w="3150"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Trên 32 đến 52</w:t>
            </w:r>
          </w:p>
        </w:tc>
        <w:tc>
          <w:tcPr>
            <w:tcW w:w="1500"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25</w:t>
            </w:r>
          </w:p>
        </w:tc>
      </w:tr>
      <w:tr w:rsidR="00894570" w:rsidRPr="00894570" w:rsidTr="00894570">
        <w:trPr>
          <w:trHeight w:val="390"/>
          <w:jc w:val="center"/>
        </w:trPr>
        <w:tc>
          <w:tcPr>
            <w:tcW w:w="930" w:type="dxa"/>
            <w:tcBorders>
              <w:top w:val="nil"/>
              <w:left w:val="single" w:sz="6" w:space="0" w:color="000000"/>
              <w:bottom w:val="single" w:sz="6" w:space="0" w:color="000000"/>
              <w:right w:val="single" w:sz="6" w:space="0" w:color="000000"/>
            </w:tcBorders>
            <w:shd w:val="clear" w:color="auto" w:fill="FFFFFF"/>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6</w:t>
            </w:r>
          </w:p>
        </w:tc>
        <w:tc>
          <w:tcPr>
            <w:tcW w:w="3435"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Trên 624 đến 960</w:t>
            </w:r>
          </w:p>
        </w:tc>
        <w:tc>
          <w:tcPr>
            <w:tcW w:w="3150"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Trên 52 đến 80</w:t>
            </w:r>
          </w:p>
        </w:tc>
        <w:tc>
          <w:tcPr>
            <w:tcW w:w="1500"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30</w:t>
            </w:r>
          </w:p>
        </w:tc>
      </w:tr>
      <w:tr w:rsidR="00894570" w:rsidRPr="00894570" w:rsidTr="00894570">
        <w:trPr>
          <w:trHeight w:val="390"/>
          <w:jc w:val="center"/>
        </w:trPr>
        <w:tc>
          <w:tcPr>
            <w:tcW w:w="930" w:type="dxa"/>
            <w:tcBorders>
              <w:top w:val="nil"/>
              <w:left w:val="single" w:sz="6" w:space="0" w:color="000000"/>
              <w:bottom w:val="single" w:sz="6" w:space="0" w:color="000000"/>
              <w:right w:val="single" w:sz="6" w:space="0" w:color="000000"/>
            </w:tcBorders>
            <w:shd w:val="clear" w:color="auto" w:fill="FFFFFF"/>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7</w:t>
            </w:r>
          </w:p>
        </w:tc>
        <w:tc>
          <w:tcPr>
            <w:tcW w:w="3435"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Trên 960</w:t>
            </w:r>
          </w:p>
        </w:tc>
        <w:tc>
          <w:tcPr>
            <w:tcW w:w="3150"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Trên 80</w:t>
            </w:r>
          </w:p>
        </w:tc>
        <w:tc>
          <w:tcPr>
            <w:tcW w:w="1500" w:type="dxa"/>
            <w:tcBorders>
              <w:top w:val="nil"/>
              <w:left w:val="nil"/>
              <w:bottom w:val="single" w:sz="6" w:space="0" w:color="000000"/>
              <w:right w:val="single" w:sz="6" w:space="0" w:color="000000"/>
            </w:tcBorders>
            <w:shd w:val="clear" w:color="auto" w:fill="FFFFFF"/>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kern w:val="0"/>
                <w:sz w:val="21"/>
                <w:szCs w:val="21"/>
                <w14:ligatures w14:val="none"/>
              </w:rPr>
              <w:t>35</w:t>
            </w:r>
          </w:p>
        </w:tc>
      </w:tr>
    </w:tbl>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b/>
          <w:bCs/>
          <w:color w:val="000000"/>
          <w:spacing w:val="2"/>
          <w:kern w:val="0"/>
          <w:sz w:val="21"/>
          <w:szCs w:val="21"/>
          <w14:ligatures w14:val="none"/>
        </w:rPr>
        <w:lastRenderedPageBreak/>
        <w:t>Theo đó</w:t>
      </w:r>
      <w:r w:rsidRPr="00894570">
        <w:rPr>
          <w:rFonts w:ascii="Arial" w:eastAsia="Times New Roman" w:hAnsi="Arial" w:cs="Arial"/>
          <w:color w:val="000000"/>
          <w:spacing w:val="2"/>
          <w:kern w:val="0"/>
          <w:sz w:val="21"/>
          <w:szCs w:val="21"/>
          <w14:ligatures w14:val="none"/>
        </w:rPr>
        <w:t>, thuế TNCN từ tiền lương, tiền công là tổng số thuế tính theo từng bậc thu nhập. Số thuế tính theo từng bậc thu nhập bằng thu nhập tính thuế của bậc thu nhập nhân (×) với thuế suất tương ứng của bậc thu nhập đó.</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b/>
          <w:bCs/>
          <w:color w:val="000000"/>
          <w:spacing w:val="2"/>
          <w:kern w:val="0"/>
          <w:sz w:val="21"/>
          <w:szCs w:val="21"/>
          <w14:ligatures w14:val="none"/>
        </w:rPr>
        <w:t>Tuy nhiên, người nộp thuế có thể áp dụng cách đơn giản hơn để tính thuế TNCN phải nộp thông qua phương pháp rút gọn theo Phụ lục số 01/PL-TNCN ban hành kèm theo</w:t>
      </w:r>
      <w:r w:rsidR="009953F9" w:rsidRPr="009953F9">
        <w:rPr>
          <w:rFonts w:ascii="Arial" w:eastAsia="Times New Roman" w:hAnsi="Arial" w:cs="Arial"/>
          <w:color w:val="000000"/>
          <w:spacing w:val="2"/>
          <w:kern w:val="0"/>
          <w:sz w:val="21"/>
          <w:szCs w:val="21"/>
          <w:shd w:val="clear" w:color="auto" w:fill="FFFFFF"/>
          <w:lang w:val="vi-VN"/>
          <w14:ligatures w14:val="none"/>
        </w:rPr>
        <w:t xml:space="preserve"> </w:t>
      </w:r>
      <w:r w:rsidR="009953F9">
        <w:rPr>
          <w:rFonts w:ascii="Arial" w:eastAsia="Times New Roman" w:hAnsi="Arial" w:cs="Arial"/>
          <w:color w:val="000000"/>
          <w:spacing w:val="2"/>
          <w:kern w:val="0"/>
          <w:sz w:val="21"/>
          <w:szCs w:val="21"/>
          <w:shd w:val="clear" w:color="auto" w:fill="FFFFFF"/>
          <w:lang w:val="vi-VN"/>
          <w14:ligatures w14:val="none"/>
        </w:rPr>
        <w:t>Thông tư 111/2023/TT-</w:t>
      </w:r>
      <w:r w:rsidR="009953F9">
        <w:rPr>
          <w:rFonts w:ascii="Arial" w:eastAsia="Times New Roman" w:hAnsi="Arial" w:cs="Arial"/>
          <w:color w:val="000000"/>
          <w:spacing w:val="2"/>
          <w:kern w:val="0"/>
          <w:sz w:val="21"/>
          <w:szCs w:val="21"/>
          <w:shd w:val="clear" w:color="auto" w:fill="FFFFFF"/>
          <w:lang w:val="vi-VN"/>
          <w14:ligatures w14:val="none"/>
        </w:rPr>
        <w:t>BTC</w:t>
      </w:r>
      <w:r w:rsidR="009953F9" w:rsidRPr="00894570">
        <w:rPr>
          <w:rFonts w:ascii="Arial" w:eastAsia="Times New Roman" w:hAnsi="Arial" w:cs="Arial"/>
          <w:b/>
          <w:bCs/>
          <w:color w:val="000000"/>
          <w:spacing w:val="2"/>
          <w:kern w:val="0"/>
          <w:sz w:val="21"/>
          <w:szCs w:val="21"/>
          <w14:ligatures w14:val="none"/>
        </w:rPr>
        <w:t xml:space="preserve"> </w:t>
      </w:r>
      <w:r w:rsidRPr="00894570">
        <w:rPr>
          <w:rFonts w:ascii="Arial" w:eastAsia="Times New Roman" w:hAnsi="Arial" w:cs="Arial"/>
          <w:b/>
          <w:bCs/>
          <w:color w:val="000000"/>
          <w:spacing w:val="2"/>
          <w:kern w:val="0"/>
          <w:sz w:val="21"/>
          <w:szCs w:val="21"/>
          <w14:ligatures w14:val="none"/>
        </w:rPr>
        <w:t>sau đây:</w:t>
      </w:r>
    </w:p>
    <w:p w:rsidR="00894570" w:rsidRPr="00894570" w:rsidRDefault="00894570" w:rsidP="00894570">
      <w:pPr>
        <w:shd w:val="clear" w:color="auto" w:fill="FFFFFF"/>
        <w:spacing w:after="120" w:line="375" w:lineRule="atLeast"/>
        <w:jc w:val="right"/>
        <w:rPr>
          <w:rFonts w:ascii="Arial" w:eastAsia="Times New Roman" w:hAnsi="Arial" w:cs="Arial"/>
          <w:color w:val="212529"/>
          <w:spacing w:val="2"/>
          <w:kern w:val="0"/>
          <w:sz w:val="21"/>
          <w:szCs w:val="21"/>
          <w14:ligatures w14:val="none"/>
        </w:rPr>
      </w:pPr>
      <w:r w:rsidRPr="00894570">
        <w:rPr>
          <w:rFonts w:ascii="Arial" w:eastAsia="Times New Roman" w:hAnsi="Arial" w:cs="Arial"/>
          <w:i/>
          <w:iCs/>
          <w:color w:val="000000"/>
          <w:spacing w:val="2"/>
          <w:kern w:val="0"/>
          <w:sz w:val="21"/>
          <w:szCs w:val="21"/>
          <w14:ligatures w14:val="none"/>
        </w:rPr>
        <w:t>Chú giải: TNTT là thu nhập tính thuế (xác định theo hướng dẫn tại đoạn (ii) Mục 2.1)</w:t>
      </w:r>
    </w:p>
    <w:tbl>
      <w:tblPr>
        <w:tblW w:w="12000" w:type="dxa"/>
        <w:jc w:val="center"/>
        <w:tblCellMar>
          <w:top w:w="75" w:type="dxa"/>
          <w:left w:w="75" w:type="dxa"/>
          <w:bottom w:w="75" w:type="dxa"/>
          <w:right w:w="75" w:type="dxa"/>
        </w:tblCellMar>
        <w:tblLook w:val="04A0" w:firstRow="1" w:lastRow="0" w:firstColumn="1" w:lastColumn="0" w:noHBand="0" w:noVBand="1"/>
      </w:tblPr>
      <w:tblGrid>
        <w:gridCol w:w="998"/>
        <w:gridCol w:w="2870"/>
        <w:gridCol w:w="1196"/>
        <w:gridCol w:w="4066"/>
        <w:gridCol w:w="2870"/>
      </w:tblGrid>
      <w:tr w:rsidR="00894570" w:rsidRPr="00894570" w:rsidTr="00894570">
        <w:trPr>
          <w:jc w:val="center"/>
        </w:trPr>
        <w:tc>
          <w:tcPr>
            <w:tcW w:w="750" w:type="dxa"/>
            <w:vMerge w:val="restart"/>
            <w:tcBorders>
              <w:top w:val="single" w:sz="6" w:space="0" w:color="000000"/>
              <w:left w:val="single" w:sz="6" w:space="0" w:color="000000"/>
              <w:bottom w:val="single" w:sz="6" w:space="0" w:color="000000"/>
              <w:right w:val="single" w:sz="6" w:space="0" w:color="000000"/>
            </w:tcBorders>
            <w:shd w:val="clear" w:color="auto" w:fill="FFCC00"/>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Bậc</w:t>
            </w:r>
          </w:p>
        </w:tc>
        <w:tc>
          <w:tcPr>
            <w:tcW w:w="2160" w:type="dxa"/>
            <w:vMerge w:val="restart"/>
            <w:tcBorders>
              <w:top w:val="single" w:sz="6" w:space="0" w:color="000000"/>
              <w:left w:val="nil"/>
              <w:bottom w:val="single" w:sz="6" w:space="0" w:color="000000"/>
              <w:right w:val="single" w:sz="6" w:space="0" w:color="000000"/>
            </w:tcBorders>
            <w:shd w:val="clear" w:color="auto" w:fill="FFCC00"/>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Thu nhập tính thuế /tháng (đồng)</w:t>
            </w:r>
          </w:p>
        </w:tc>
        <w:tc>
          <w:tcPr>
            <w:tcW w:w="900" w:type="dxa"/>
            <w:vMerge w:val="restart"/>
            <w:tcBorders>
              <w:top w:val="single" w:sz="6" w:space="0" w:color="000000"/>
              <w:left w:val="nil"/>
              <w:bottom w:val="single" w:sz="6" w:space="0" w:color="000000"/>
              <w:right w:val="single" w:sz="6" w:space="0" w:color="000000"/>
            </w:tcBorders>
            <w:shd w:val="clear" w:color="auto" w:fill="FFCC00"/>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Thuế suất</w:t>
            </w:r>
          </w:p>
        </w:tc>
        <w:tc>
          <w:tcPr>
            <w:tcW w:w="3060" w:type="dxa"/>
            <w:gridSpan w:val="2"/>
            <w:tcBorders>
              <w:top w:val="single" w:sz="6" w:space="0" w:color="000000"/>
              <w:left w:val="nil"/>
              <w:bottom w:val="single" w:sz="6" w:space="0" w:color="000000"/>
              <w:right w:val="single" w:sz="6" w:space="0" w:color="000000"/>
            </w:tcBorders>
            <w:shd w:val="clear" w:color="auto" w:fill="FFCC00"/>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Tính số thuế phải nộp</w:t>
            </w:r>
          </w:p>
        </w:tc>
      </w:tr>
      <w:tr w:rsidR="00894570" w:rsidRPr="00894570" w:rsidTr="0089457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94570" w:rsidRPr="00894570" w:rsidRDefault="00894570" w:rsidP="00894570">
            <w:pPr>
              <w:rPr>
                <w:rFonts w:ascii="Times New Roman" w:eastAsia="Times New Roman" w:hAnsi="Times New Roman" w:cs="Times New Roman"/>
                <w:kern w:val="0"/>
                <w14:ligatures w14:val="none"/>
              </w:rPr>
            </w:pPr>
          </w:p>
        </w:tc>
        <w:tc>
          <w:tcPr>
            <w:tcW w:w="0" w:type="auto"/>
            <w:vMerge/>
            <w:tcBorders>
              <w:top w:val="single" w:sz="6" w:space="0" w:color="000000"/>
              <w:left w:val="nil"/>
              <w:bottom w:val="single" w:sz="6" w:space="0" w:color="000000"/>
              <w:right w:val="single" w:sz="6" w:space="0" w:color="000000"/>
            </w:tcBorders>
            <w:vAlign w:val="center"/>
            <w:hideMark/>
          </w:tcPr>
          <w:p w:rsidR="00894570" w:rsidRPr="00894570" w:rsidRDefault="00894570" w:rsidP="00894570">
            <w:pPr>
              <w:rPr>
                <w:rFonts w:ascii="Times New Roman" w:eastAsia="Times New Roman" w:hAnsi="Times New Roman" w:cs="Times New Roman"/>
                <w:kern w:val="0"/>
                <w14:ligatures w14:val="none"/>
              </w:rPr>
            </w:pPr>
          </w:p>
        </w:tc>
        <w:tc>
          <w:tcPr>
            <w:tcW w:w="0" w:type="auto"/>
            <w:vMerge/>
            <w:tcBorders>
              <w:top w:val="single" w:sz="6" w:space="0" w:color="000000"/>
              <w:left w:val="nil"/>
              <w:bottom w:val="single" w:sz="6" w:space="0" w:color="000000"/>
              <w:right w:val="single" w:sz="6" w:space="0" w:color="000000"/>
            </w:tcBorders>
            <w:vAlign w:val="center"/>
            <w:hideMark/>
          </w:tcPr>
          <w:p w:rsidR="00894570" w:rsidRPr="00894570" w:rsidRDefault="00894570" w:rsidP="00894570">
            <w:pPr>
              <w:rPr>
                <w:rFonts w:ascii="Times New Roman" w:eastAsia="Times New Roman" w:hAnsi="Times New Roman" w:cs="Times New Roman"/>
                <w:kern w:val="0"/>
                <w14:ligatures w14:val="none"/>
              </w:rPr>
            </w:pPr>
          </w:p>
        </w:tc>
        <w:tc>
          <w:tcPr>
            <w:tcW w:w="750" w:type="dxa"/>
            <w:tcBorders>
              <w:top w:val="nil"/>
              <w:left w:val="nil"/>
              <w:bottom w:val="single" w:sz="6" w:space="0" w:color="000000"/>
              <w:right w:val="single" w:sz="6" w:space="0" w:color="000000"/>
            </w:tcBorders>
            <w:shd w:val="clear" w:color="auto" w:fill="FFCC00"/>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Cách 1</w:t>
            </w:r>
          </w:p>
        </w:tc>
        <w:tc>
          <w:tcPr>
            <w:tcW w:w="2160" w:type="dxa"/>
            <w:tcBorders>
              <w:top w:val="nil"/>
              <w:left w:val="nil"/>
              <w:bottom w:val="single" w:sz="6" w:space="0" w:color="000000"/>
              <w:right w:val="single" w:sz="6" w:space="0" w:color="000000"/>
            </w:tcBorders>
            <w:shd w:val="clear" w:color="auto" w:fill="FFCC00"/>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Cách 2</w:t>
            </w:r>
          </w:p>
        </w:tc>
      </w:tr>
      <w:tr w:rsidR="00894570" w:rsidRPr="00894570" w:rsidTr="00894570">
        <w:trPr>
          <w:jc w:val="center"/>
        </w:trPr>
        <w:tc>
          <w:tcPr>
            <w:tcW w:w="750" w:type="dxa"/>
            <w:tcBorders>
              <w:top w:val="nil"/>
              <w:left w:val="single" w:sz="6" w:space="0" w:color="000000"/>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1</w:t>
            </w:r>
          </w:p>
        </w:tc>
        <w:tc>
          <w:tcPr>
            <w:tcW w:w="2160" w:type="dxa"/>
            <w:tcBorders>
              <w:top w:val="nil"/>
              <w:left w:val="nil"/>
              <w:bottom w:val="single" w:sz="6" w:space="0" w:color="000000"/>
              <w:right w:val="single" w:sz="6" w:space="0" w:color="000000"/>
            </w:tcBorders>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Đến 5 triệu</w:t>
            </w:r>
          </w:p>
        </w:tc>
        <w:tc>
          <w:tcPr>
            <w:tcW w:w="90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5%</w:t>
            </w:r>
          </w:p>
        </w:tc>
        <w:tc>
          <w:tcPr>
            <w:tcW w:w="306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0 triệu + 5% TNTT</w:t>
            </w:r>
          </w:p>
        </w:tc>
        <w:tc>
          <w:tcPr>
            <w:tcW w:w="216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5% TNTT</w:t>
            </w:r>
          </w:p>
        </w:tc>
      </w:tr>
      <w:tr w:rsidR="00894570" w:rsidRPr="00894570" w:rsidTr="00894570">
        <w:trPr>
          <w:jc w:val="center"/>
        </w:trPr>
        <w:tc>
          <w:tcPr>
            <w:tcW w:w="750" w:type="dxa"/>
            <w:tcBorders>
              <w:top w:val="nil"/>
              <w:left w:val="single" w:sz="6" w:space="0" w:color="000000"/>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2</w:t>
            </w:r>
          </w:p>
        </w:tc>
        <w:tc>
          <w:tcPr>
            <w:tcW w:w="2160" w:type="dxa"/>
            <w:tcBorders>
              <w:top w:val="nil"/>
              <w:left w:val="nil"/>
              <w:bottom w:val="single" w:sz="6" w:space="0" w:color="000000"/>
              <w:right w:val="single" w:sz="6" w:space="0" w:color="000000"/>
            </w:tcBorders>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Trên 5 triệu đến 10 triệu</w:t>
            </w:r>
          </w:p>
        </w:tc>
        <w:tc>
          <w:tcPr>
            <w:tcW w:w="90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10%</w:t>
            </w:r>
          </w:p>
        </w:tc>
        <w:tc>
          <w:tcPr>
            <w:tcW w:w="306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0,25 triệu + 10% TNTT trên 5 triệu</w:t>
            </w:r>
          </w:p>
        </w:tc>
        <w:tc>
          <w:tcPr>
            <w:tcW w:w="216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10% TNTT - 0,25 triệu</w:t>
            </w:r>
          </w:p>
        </w:tc>
      </w:tr>
      <w:tr w:rsidR="00894570" w:rsidRPr="00894570" w:rsidTr="00894570">
        <w:trPr>
          <w:jc w:val="center"/>
        </w:trPr>
        <w:tc>
          <w:tcPr>
            <w:tcW w:w="750" w:type="dxa"/>
            <w:tcBorders>
              <w:top w:val="nil"/>
              <w:left w:val="single" w:sz="6" w:space="0" w:color="000000"/>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3</w:t>
            </w:r>
          </w:p>
        </w:tc>
        <w:tc>
          <w:tcPr>
            <w:tcW w:w="2160" w:type="dxa"/>
            <w:tcBorders>
              <w:top w:val="nil"/>
              <w:left w:val="nil"/>
              <w:bottom w:val="single" w:sz="6" w:space="0" w:color="000000"/>
              <w:right w:val="single" w:sz="6" w:space="0" w:color="000000"/>
            </w:tcBorders>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Trên 10 triệu đến 18 triệu</w:t>
            </w:r>
          </w:p>
        </w:tc>
        <w:tc>
          <w:tcPr>
            <w:tcW w:w="90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15%</w:t>
            </w:r>
          </w:p>
        </w:tc>
        <w:tc>
          <w:tcPr>
            <w:tcW w:w="306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0,75 triệu + 15% TNTT trên 10 triệu</w:t>
            </w:r>
          </w:p>
        </w:tc>
        <w:tc>
          <w:tcPr>
            <w:tcW w:w="216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15% TNTT - 0,75 triệu</w:t>
            </w:r>
          </w:p>
        </w:tc>
      </w:tr>
      <w:tr w:rsidR="00894570" w:rsidRPr="00894570" w:rsidTr="00894570">
        <w:trPr>
          <w:jc w:val="center"/>
        </w:trPr>
        <w:tc>
          <w:tcPr>
            <w:tcW w:w="750" w:type="dxa"/>
            <w:tcBorders>
              <w:top w:val="nil"/>
              <w:left w:val="single" w:sz="6" w:space="0" w:color="000000"/>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4</w:t>
            </w:r>
          </w:p>
        </w:tc>
        <w:tc>
          <w:tcPr>
            <w:tcW w:w="2160" w:type="dxa"/>
            <w:tcBorders>
              <w:top w:val="nil"/>
              <w:left w:val="nil"/>
              <w:bottom w:val="single" w:sz="6" w:space="0" w:color="000000"/>
              <w:right w:val="single" w:sz="6" w:space="0" w:color="000000"/>
            </w:tcBorders>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Trên 18 triệu đến 32 triệu</w:t>
            </w:r>
          </w:p>
        </w:tc>
        <w:tc>
          <w:tcPr>
            <w:tcW w:w="90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20%</w:t>
            </w:r>
          </w:p>
        </w:tc>
        <w:tc>
          <w:tcPr>
            <w:tcW w:w="306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1,95 triệu + 20% TNTT trên 18 triệu</w:t>
            </w:r>
          </w:p>
        </w:tc>
        <w:tc>
          <w:tcPr>
            <w:tcW w:w="216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20% TNTT - 1,65 triệu</w:t>
            </w:r>
          </w:p>
        </w:tc>
      </w:tr>
      <w:tr w:rsidR="00894570" w:rsidRPr="00894570" w:rsidTr="00894570">
        <w:trPr>
          <w:jc w:val="center"/>
        </w:trPr>
        <w:tc>
          <w:tcPr>
            <w:tcW w:w="750" w:type="dxa"/>
            <w:tcBorders>
              <w:top w:val="nil"/>
              <w:left w:val="single" w:sz="6" w:space="0" w:color="000000"/>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5</w:t>
            </w:r>
          </w:p>
        </w:tc>
        <w:tc>
          <w:tcPr>
            <w:tcW w:w="2160" w:type="dxa"/>
            <w:tcBorders>
              <w:top w:val="nil"/>
              <w:left w:val="nil"/>
              <w:bottom w:val="single" w:sz="6" w:space="0" w:color="000000"/>
              <w:right w:val="single" w:sz="6" w:space="0" w:color="000000"/>
            </w:tcBorders>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Trên 32 triệu đến 52 triệu</w:t>
            </w:r>
          </w:p>
        </w:tc>
        <w:tc>
          <w:tcPr>
            <w:tcW w:w="90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25%</w:t>
            </w:r>
          </w:p>
        </w:tc>
        <w:tc>
          <w:tcPr>
            <w:tcW w:w="306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4,75 triệu + 25% TNTT trên 32 triệu</w:t>
            </w:r>
          </w:p>
        </w:tc>
        <w:tc>
          <w:tcPr>
            <w:tcW w:w="216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25% TNTT - 3,25 triệu</w:t>
            </w:r>
          </w:p>
        </w:tc>
      </w:tr>
      <w:tr w:rsidR="00894570" w:rsidRPr="00894570" w:rsidTr="00894570">
        <w:trPr>
          <w:jc w:val="center"/>
        </w:trPr>
        <w:tc>
          <w:tcPr>
            <w:tcW w:w="750" w:type="dxa"/>
            <w:tcBorders>
              <w:top w:val="nil"/>
              <w:left w:val="single" w:sz="6" w:space="0" w:color="000000"/>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6</w:t>
            </w:r>
          </w:p>
        </w:tc>
        <w:tc>
          <w:tcPr>
            <w:tcW w:w="2160" w:type="dxa"/>
            <w:tcBorders>
              <w:top w:val="nil"/>
              <w:left w:val="nil"/>
              <w:bottom w:val="single" w:sz="6" w:space="0" w:color="000000"/>
              <w:right w:val="single" w:sz="6" w:space="0" w:color="000000"/>
            </w:tcBorders>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Trên 52 triệu đến 80 triệu</w:t>
            </w:r>
          </w:p>
        </w:tc>
        <w:tc>
          <w:tcPr>
            <w:tcW w:w="90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30%</w:t>
            </w:r>
          </w:p>
        </w:tc>
        <w:tc>
          <w:tcPr>
            <w:tcW w:w="306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9,75 triệu + 30% TNTT trên 52 triệu</w:t>
            </w:r>
          </w:p>
        </w:tc>
        <w:tc>
          <w:tcPr>
            <w:tcW w:w="216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30 % TNTT - 5,85 triệu</w:t>
            </w:r>
          </w:p>
        </w:tc>
      </w:tr>
      <w:tr w:rsidR="00894570" w:rsidRPr="00894570" w:rsidTr="00894570">
        <w:trPr>
          <w:jc w:val="center"/>
        </w:trPr>
        <w:tc>
          <w:tcPr>
            <w:tcW w:w="750" w:type="dxa"/>
            <w:tcBorders>
              <w:top w:val="nil"/>
              <w:left w:val="single" w:sz="6" w:space="0" w:color="000000"/>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7</w:t>
            </w:r>
          </w:p>
        </w:tc>
        <w:tc>
          <w:tcPr>
            <w:tcW w:w="2160" w:type="dxa"/>
            <w:tcBorders>
              <w:top w:val="nil"/>
              <w:left w:val="nil"/>
              <w:bottom w:val="single" w:sz="6" w:space="0" w:color="000000"/>
              <w:right w:val="single" w:sz="6" w:space="0" w:color="000000"/>
            </w:tcBorders>
            <w:hideMark/>
          </w:tcPr>
          <w:p w:rsidR="00894570" w:rsidRPr="00894570" w:rsidRDefault="00894570" w:rsidP="00894570">
            <w:pPr>
              <w:spacing w:after="120"/>
              <w:jc w:val="both"/>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Trên 80 triệu</w:t>
            </w:r>
          </w:p>
        </w:tc>
        <w:tc>
          <w:tcPr>
            <w:tcW w:w="90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35%</w:t>
            </w:r>
          </w:p>
        </w:tc>
        <w:tc>
          <w:tcPr>
            <w:tcW w:w="306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18,15 triệu + 35% TNTT trên 80 triệu</w:t>
            </w:r>
          </w:p>
        </w:tc>
        <w:tc>
          <w:tcPr>
            <w:tcW w:w="2160" w:type="dxa"/>
            <w:tcBorders>
              <w:top w:val="nil"/>
              <w:left w:val="nil"/>
              <w:bottom w:val="single" w:sz="6" w:space="0" w:color="000000"/>
              <w:right w:val="single" w:sz="6" w:space="0" w:color="000000"/>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color w:val="000000"/>
                <w:kern w:val="0"/>
                <w:sz w:val="21"/>
                <w:szCs w:val="21"/>
                <w14:ligatures w14:val="none"/>
              </w:rPr>
              <w:t>35% TNTT - 9,85 triệu</w:t>
            </w:r>
          </w:p>
        </w:tc>
      </w:tr>
    </w:tbl>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b/>
          <w:bCs/>
          <w:color w:val="000000"/>
          <w:spacing w:val="2"/>
          <w:kern w:val="0"/>
          <w:sz w:val="21"/>
          <w:szCs w:val="21"/>
          <w:u w:val="single"/>
          <w:shd w:val="clear" w:color="auto" w:fill="FFFFFF"/>
          <w14:ligatures w14:val="none"/>
        </w:rPr>
        <w:t>Trường hợp 2:</w:t>
      </w:r>
      <w:r w:rsidRPr="00894570">
        <w:rPr>
          <w:rFonts w:ascii="Arial" w:eastAsia="Times New Roman" w:hAnsi="Arial" w:cs="Arial"/>
          <w:i/>
          <w:iCs/>
          <w:color w:val="212529"/>
          <w:spacing w:val="2"/>
          <w:kern w:val="0"/>
          <w:sz w:val="21"/>
          <w:szCs w:val="21"/>
          <w:shd w:val="clear" w:color="auto" w:fill="FFFFFF"/>
          <w14:ligatures w14:val="none"/>
        </w:rPr>
        <w:t> </w:t>
      </w:r>
      <w:r w:rsidRPr="00894570">
        <w:rPr>
          <w:rFonts w:ascii="Arial" w:eastAsia="Times New Roman" w:hAnsi="Arial" w:cs="Arial"/>
          <w:color w:val="000000"/>
          <w:spacing w:val="2"/>
          <w:kern w:val="0"/>
          <w:sz w:val="21"/>
          <w:szCs w:val="21"/>
          <w:shd w:val="clear" w:color="auto" w:fill="FFFFFF"/>
          <w14:ligatures w14:val="none"/>
        </w:rPr>
        <w:t>Cá nhân cư trú không ký hợp đồng lao động hoặc ký hợp đồng lao động dưới 03 tháng:</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000000"/>
          <w:spacing w:val="2"/>
          <w:kern w:val="0"/>
          <w:sz w:val="21"/>
          <w:szCs w:val="21"/>
          <w:shd w:val="clear" w:color="auto" w:fill="FFFFFF"/>
          <w14:ligatures w14:val="none"/>
        </w:rPr>
        <w:t>Căn cứ điểm i khoản 1 Điều 25</w:t>
      </w:r>
      <w:r w:rsidR="009953F9" w:rsidRPr="009953F9">
        <w:rPr>
          <w:rFonts w:ascii="Arial" w:eastAsia="Times New Roman" w:hAnsi="Arial" w:cs="Arial"/>
          <w:color w:val="000000"/>
          <w:spacing w:val="2"/>
          <w:kern w:val="0"/>
          <w:sz w:val="21"/>
          <w:szCs w:val="21"/>
          <w:shd w:val="clear" w:color="auto" w:fill="FFFFFF"/>
          <w:lang w:val="vi-VN"/>
          <w14:ligatures w14:val="none"/>
        </w:rPr>
        <w:t xml:space="preserve"> </w:t>
      </w:r>
      <w:r w:rsidR="009953F9">
        <w:rPr>
          <w:rFonts w:ascii="Arial" w:eastAsia="Times New Roman" w:hAnsi="Arial" w:cs="Arial"/>
          <w:color w:val="000000"/>
          <w:spacing w:val="2"/>
          <w:kern w:val="0"/>
          <w:sz w:val="21"/>
          <w:szCs w:val="21"/>
          <w:shd w:val="clear" w:color="auto" w:fill="FFFFFF"/>
          <w:lang w:val="vi-VN"/>
          <w14:ligatures w14:val="none"/>
        </w:rPr>
        <w:t>Thông tư 111/2023/TT-</w:t>
      </w:r>
      <w:r w:rsidR="009953F9">
        <w:rPr>
          <w:rFonts w:ascii="Arial" w:eastAsia="Times New Roman" w:hAnsi="Arial" w:cs="Arial"/>
          <w:color w:val="000000"/>
          <w:spacing w:val="2"/>
          <w:kern w:val="0"/>
          <w:sz w:val="21"/>
          <w:szCs w:val="21"/>
          <w:shd w:val="clear" w:color="auto" w:fill="FFFFFF"/>
          <w:lang w:val="vi-VN"/>
          <w14:ligatures w14:val="none"/>
        </w:rPr>
        <w:t>BTC,</w:t>
      </w:r>
      <w:r w:rsidRPr="00894570">
        <w:rPr>
          <w:rFonts w:ascii="Arial" w:eastAsia="Times New Roman" w:hAnsi="Arial" w:cs="Arial"/>
          <w:color w:val="212529"/>
          <w:spacing w:val="2"/>
          <w:kern w:val="0"/>
          <w:sz w:val="21"/>
          <w:szCs w:val="21"/>
          <w:shd w:val="clear" w:color="auto" w:fill="FFFFFF"/>
          <w14:ligatures w14:val="none"/>
        </w:rPr>
        <w:t xml:space="preserve"> cá nhân cư trú không ký hợp đồng lao động hoặc có ký nhưng thời hạn dưới 03 tháng mà có tổng mức trả thu nhập từ tiền lương, tiền công từ 2 triệu đồng/lần trở lên thì phải </w:t>
      </w:r>
      <w:r w:rsidRPr="00894570">
        <w:rPr>
          <w:rFonts w:ascii="Arial" w:eastAsia="Times New Roman" w:hAnsi="Arial" w:cs="Arial"/>
          <w:color w:val="000000"/>
          <w:spacing w:val="2"/>
          <w:kern w:val="0"/>
          <w:sz w:val="21"/>
          <w:szCs w:val="21"/>
          <w:shd w:val="clear" w:color="auto" w:fill="FFFFFF"/>
          <w14:ligatures w14:val="none"/>
        </w:rPr>
        <w:t>đóng thuế TNCN theo mức thuế suất 10%.</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b/>
          <w:bCs/>
          <w:color w:val="000000"/>
          <w:spacing w:val="2"/>
          <w:kern w:val="0"/>
          <w:sz w:val="21"/>
          <w:szCs w:val="21"/>
          <w:shd w:val="clear" w:color="auto" w:fill="FFFFFF"/>
          <w14:ligatures w14:val="none"/>
        </w:rPr>
        <w:t>Lưu ý:</w:t>
      </w:r>
      <w:r w:rsidRPr="00894570">
        <w:rPr>
          <w:rFonts w:ascii="Arial" w:eastAsia="Times New Roman" w:hAnsi="Arial" w:cs="Arial"/>
          <w:color w:val="000000"/>
          <w:spacing w:val="2"/>
          <w:kern w:val="0"/>
          <w:sz w:val="21"/>
          <w:szCs w:val="21"/>
          <w:shd w:val="clear" w:color="auto" w:fill="FFFFFF"/>
          <w14:ligatures w14:val="none"/>
        </w:rPr>
        <w:t> Nếu cá nhân chỉ có duy nhất thu nhập thuộc đối tượng phải khấu trừ thuế theo tỷ lệ 10% nêu trên nhưng ước tính tổng mức thu nhập chịu thuế của cá nhân sau khi trừ gia cảnh chưa đến mức phải nộp thuế thì cá nhân có thu nhập làm cam kết (theo Mẫu 08/CK-TNCN tại Phụ lục II ban hành kèm theo</w:t>
      </w:r>
      <w:r w:rsidR="009953F9" w:rsidRPr="009953F9">
        <w:rPr>
          <w:rFonts w:ascii="Arial" w:eastAsia="Times New Roman" w:hAnsi="Arial" w:cs="Arial"/>
          <w:color w:val="000000"/>
          <w:spacing w:val="2"/>
          <w:kern w:val="0"/>
          <w:sz w:val="21"/>
          <w:szCs w:val="21"/>
          <w:shd w:val="clear" w:color="auto" w:fill="FFFFFF"/>
          <w:lang w:val="vi-VN"/>
          <w14:ligatures w14:val="none"/>
        </w:rPr>
        <w:t xml:space="preserve"> </w:t>
      </w:r>
      <w:r w:rsidR="009953F9">
        <w:rPr>
          <w:rFonts w:ascii="Arial" w:eastAsia="Times New Roman" w:hAnsi="Arial" w:cs="Arial"/>
          <w:color w:val="000000"/>
          <w:spacing w:val="2"/>
          <w:kern w:val="0"/>
          <w:sz w:val="21"/>
          <w:szCs w:val="21"/>
          <w:shd w:val="clear" w:color="auto" w:fill="FFFFFF"/>
          <w:lang w:val="vi-VN"/>
          <w14:ligatures w14:val="none"/>
        </w:rPr>
        <w:t>Thông tư 111/2023/TT-</w:t>
      </w:r>
      <w:r w:rsidR="009953F9">
        <w:rPr>
          <w:rFonts w:ascii="Arial" w:eastAsia="Times New Roman" w:hAnsi="Arial" w:cs="Arial"/>
          <w:color w:val="000000"/>
          <w:spacing w:val="2"/>
          <w:kern w:val="0"/>
          <w:sz w:val="21"/>
          <w:szCs w:val="21"/>
          <w:shd w:val="clear" w:color="auto" w:fill="FFFFFF"/>
          <w:lang w:val="vi-VN"/>
          <w14:ligatures w14:val="none"/>
        </w:rPr>
        <w:t>BTC)</w:t>
      </w:r>
      <w:r w:rsidRPr="00894570">
        <w:rPr>
          <w:rFonts w:ascii="Arial" w:eastAsia="Times New Roman" w:hAnsi="Arial" w:cs="Arial"/>
          <w:color w:val="000000"/>
          <w:spacing w:val="2"/>
          <w:kern w:val="0"/>
          <w:sz w:val="21"/>
          <w:szCs w:val="21"/>
          <w:shd w:val="clear" w:color="auto" w:fill="FFFFFF"/>
          <w14:ligatures w14:val="none"/>
        </w:rPr>
        <w:t xml:space="preserve"> gửi tổ chức trả thu nhập để tổ chức trả thu nhập làm căn cứ tạm thời chưa khấu trừ thuế thu nhập cá nhân.</w:t>
      </w:r>
    </w:p>
    <w:p w:rsidR="00894570" w:rsidRPr="00894570" w:rsidRDefault="00894570" w:rsidP="00894570">
      <w:pPr>
        <w:shd w:val="clear" w:color="auto" w:fill="FFFFFF"/>
        <w:spacing w:after="100" w:afterAutospacing="1" w:line="300" w:lineRule="atLeast"/>
        <w:jc w:val="both"/>
        <w:outlineLvl w:val="2"/>
        <w:rPr>
          <w:rFonts w:ascii="Open Sans" w:eastAsia="Times New Roman" w:hAnsi="Open Sans" w:cs="Open Sans"/>
          <w:color w:val="212529"/>
          <w:spacing w:val="2"/>
          <w:kern w:val="0"/>
          <w:sz w:val="27"/>
          <w:szCs w:val="27"/>
          <w14:ligatures w14:val="none"/>
        </w:rPr>
      </w:pPr>
      <w:r w:rsidRPr="00894570">
        <w:rPr>
          <w:rFonts w:ascii="Arial" w:eastAsia="Times New Roman" w:hAnsi="Arial" w:cs="Arial"/>
          <w:b/>
          <w:bCs/>
          <w:color w:val="000000"/>
          <w:spacing w:val="2"/>
          <w:kern w:val="0"/>
          <w:sz w:val="21"/>
          <w:szCs w:val="21"/>
          <w:shd w:val="clear" w:color="auto" w:fill="FFFFFF"/>
          <w14:ligatures w14:val="none"/>
        </w:rPr>
        <w:t>2.2. Đối với cá nhân không cư trú</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000000"/>
          <w:spacing w:val="2"/>
          <w:kern w:val="0"/>
          <w:sz w:val="21"/>
          <w:szCs w:val="21"/>
          <w:shd w:val="clear" w:color="auto" w:fill="FFFFFF"/>
          <w14:ligatures w14:val="none"/>
        </w:rPr>
        <w:lastRenderedPageBreak/>
        <w:t xml:space="preserve">Theo Điều </w:t>
      </w:r>
      <w:r w:rsidR="009953F9">
        <w:rPr>
          <w:rFonts w:ascii="Arial" w:eastAsia="Times New Roman" w:hAnsi="Arial" w:cs="Arial"/>
          <w:color w:val="000000"/>
          <w:spacing w:val="2"/>
          <w:kern w:val="0"/>
          <w:sz w:val="21"/>
          <w:szCs w:val="21"/>
          <w:shd w:val="clear" w:color="auto" w:fill="FFFFFF"/>
          <w:lang w:val="vi-VN"/>
          <w14:ligatures w14:val="none"/>
        </w:rPr>
        <w:t xml:space="preserve">18 </w:t>
      </w:r>
      <w:r w:rsidR="009953F9">
        <w:rPr>
          <w:rFonts w:ascii="Arial" w:eastAsia="Times New Roman" w:hAnsi="Arial" w:cs="Arial"/>
          <w:color w:val="000000"/>
          <w:spacing w:val="2"/>
          <w:kern w:val="0"/>
          <w:sz w:val="21"/>
          <w:szCs w:val="21"/>
          <w:shd w:val="clear" w:color="auto" w:fill="FFFFFF"/>
          <w:lang w:val="vi-VN"/>
          <w14:ligatures w14:val="none"/>
        </w:rPr>
        <w:t>Thông tư 111/2023/TT-BTC</w:t>
      </w:r>
      <w:r w:rsidRPr="00894570">
        <w:rPr>
          <w:rFonts w:ascii="Arial" w:eastAsia="Times New Roman" w:hAnsi="Arial" w:cs="Arial"/>
          <w:color w:val="212529"/>
          <w:spacing w:val="2"/>
          <w:kern w:val="0"/>
          <w:sz w:val="21"/>
          <w:szCs w:val="21"/>
          <w:shd w:val="clear" w:color="auto" w:fill="FFFFFF"/>
          <w14:ligatures w14:val="none"/>
        </w:rPr>
        <w:t xml:space="preserve"> thuế</w:t>
      </w:r>
      <w:r w:rsidRPr="00894570">
        <w:rPr>
          <w:rFonts w:ascii="Arial" w:eastAsia="Times New Roman" w:hAnsi="Arial" w:cs="Arial"/>
          <w:color w:val="000000"/>
          <w:spacing w:val="2"/>
          <w:kern w:val="0"/>
          <w:sz w:val="21"/>
          <w:szCs w:val="21"/>
          <w:shd w:val="clear" w:color="auto" w:fill="FFFFFF"/>
          <w14:ligatures w14:val="none"/>
        </w:rPr>
        <w:t> TNCN từ tiền lương, tiền công của cá nhân không cư trú được xác định như sau:</w:t>
      </w:r>
    </w:p>
    <w:tbl>
      <w:tblPr>
        <w:tblW w:w="0" w:type="auto"/>
        <w:jc w:val="center"/>
        <w:tblCellMar>
          <w:top w:w="75" w:type="dxa"/>
          <w:left w:w="75" w:type="dxa"/>
          <w:bottom w:w="75" w:type="dxa"/>
          <w:right w:w="75" w:type="dxa"/>
        </w:tblCellMar>
        <w:tblLook w:val="04A0" w:firstRow="1" w:lastRow="0" w:firstColumn="1" w:lastColumn="0" w:noHBand="0" w:noVBand="1"/>
      </w:tblPr>
      <w:tblGrid>
        <w:gridCol w:w="2655"/>
        <w:gridCol w:w="570"/>
        <w:gridCol w:w="2520"/>
        <w:gridCol w:w="1020"/>
        <w:gridCol w:w="1275"/>
      </w:tblGrid>
      <w:tr w:rsidR="00894570" w:rsidRPr="00894570" w:rsidTr="00894570">
        <w:trPr>
          <w:jc w:val="center"/>
        </w:trPr>
        <w:tc>
          <w:tcPr>
            <w:tcW w:w="2655" w:type="dxa"/>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Times New Roman" w:eastAsia="Times New Roman" w:hAnsi="Times New Roman" w:cs="Times New Roman"/>
                <w:b/>
                <w:bCs/>
                <w:color w:val="000000"/>
                <w:kern w:val="0"/>
                <w:sz w:val="21"/>
                <w:szCs w:val="21"/>
                <w14:ligatures w14:val="none"/>
              </w:rPr>
              <w:t>Thuế TNCN từ tiền lương, tiền công</w:t>
            </w:r>
          </w:p>
        </w:tc>
        <w:tc>
          <w:tcPr>
            <w:tcW w:w="570" w:type="dxa"/>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Times New Roman" w:eastAsia="Times New Roman" w:hAnsi="Times New Roman" w:cs="Times New Roman"/>
                <w:color w:val="000000"/>
                <w:kern w:val="0"/>
                <w:sz w:val="21"/>
                <w:szCs w:val="21"/>
                <w14:ligatures w14:val="none"/>
              </w:rPr>
              <w:t>=</w:t>
            </w:r>
          </w:p>
        </w:tc>
        <w:tc>
          <w:tcPr>
            <w:tcW w:w="2520" w:type="dxa"/>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Times New Roman" w:eastAsia="Times New Roman" w:hAnsi="Times New Roman" w:cs="Times New Roman"/>
                <w:b/>
                <w:bCs/>
                <w:color w:val="000000"/>
                <w:kern w:val="0"/>
                <w:sz w:val="21"/>
                <w:szCs w:val="21"/>
                <w14:ligatures w14:val="none"/>
              </w:rPr>
              <w:t>Thu nhập chịu thuế từ tiền lương, tiền công</w:t>
            </w:r>
          </w:p>
        </w:tc>
        <w:tc>
          <w:tcPr>
            <w:tcW w:w="1020" w:type="dxa"/>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Times New Roman" w:eastAsia="Times New Roman" w:hAnsi="Times New Roman" w:cs="Times New Roman"/>
                <w:color w:val="000000"/>
                <w:kern w:val="0"/>
                <w:sz w:val="21"/>
                <w:szCs w:val="21"/>
                <w14:ligatures w14:val="none"/>
              </w:rPr>
              <w:t>x</w:t>
            </w:r>
          </w:p>
        </w:tc>
        <w:tc>
          <w:tcPr>
            <w:tcW w:w="1275" w:type="dxa"/>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Times New Roman" w:eastAsia="Times New Roman" w:hAnsi="Times New Roman" w:cs="Times New Roman"/>
                <w:b/>
                <w:bCs/>
                <w:color w:val="000000"/>
                <w:kern w:val="0"/>
                <w:sz w:val="21"/>
                <w:szCs w:val="21"/>
                <w:shd w:val="clear" w:color="auto" w:fill="FFFFFF"/>
                <w14:ligatures w14:val="none"/>
              </w:rPr>
              <w:t>Thuế suất 20%</w:t>
            </w:r>
          </w:p>
        </w:tc>
      </w:tr>
    </w:tbl>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000000"/>
          <w:spacing w:val="2"/>
          <w:kern w:val="0"/>
          <w:sz w:val="21"/>
          <w:szCs w:val="21"/>
          <w:shd w:val="clear" w:color="auto" w:fill="FFFFFF"/>
          <w14:ligatures w14:val="none"/>
        </w:rPr>
        <w:t>Trong đó:</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000000"/>
          <w:spacing w:val="2"/>
          <w:kern w:val="0"/>
          <w:sz w:val="21"/>
          <w:szCs w:val="21"/>
          <w:shd w:val="clear" w:color="auto" w:fill="FFFFFF"/>
          <w14:ligatures w14:val="none"/>
        </w:rPr>
        <w:t>(i) Thu nhập chịu thuế từ tiền lương, tiền công</w:t>
      </w:r>
      <w:r w:rsidRPr="00894570">
        <w:rPr>
          <w:rFonts w:ascii="Arial" w:eastAsia="Times New Roman" w:hAnsi="Arial" w:cs="Arial"/>
          <w:b/>
          <w:bCs/>
          <w:color w:val="000000"/>
          <w:spacing w:val="2"/>
          <w:kern w:val="0"/>
          <w:sz w:val="21"/>
          <w:szCs w:val="21"/>
          <w:shd w:val="clear" w:color="auto" w:fill="FFFFFF"/>
          <w14:ligatures w14:val="none"/>
        </w:rPr>
        <w:t> </w:t>
      </w:r>
      <w:r w:rsidRPr="00894570">
        <w:rPr>
          <w:rFonts w:ascii="Arial" w:eastAsia="Times New Roman" w:hAnsi="Arial" w:cs="Arial"/>
          <w:color w:val="000000"/>
          <w:spacing w:val="2"/>
          <w:kern w:val="0"/>
          <w:sz w:val="21"/>
          <w:szCs w:val="21"/>
          <w:shd w:val="clear" w:color="auto" w:fill="FFFFFF"/>
          <w14:ligatures w14:val="none"/>
        </w:rPr>
        <w:t>của cá nhân không cư trú được xác định như đối với thu nhập chịu thuế từ tiền lương, tiền công của cá nhân cư trú (xem hướng dẫn tại Mục 2.1 bên trên).</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000000"/>
          <w:spacing w:val="2"/>
          <w:kern w:val="0"/>
          <w:sz w:val="21"/>
          <w:szCs w:val="21"/>
          <w:shd w:val="clear" w:color="auto" w:fill="FFFFFF"/>
          <w14:ligatures w14:val="none"/>
        </w:rPr>
        <w:t>(ii) Việc xác định thu nhập chịu thuế thu nhập cá nhân từ tiền lương, tiền công tại Việt Nam trong trường hợp cá nhân không cư trú làm việc đồng thời ở Việt Nam và nước ngoài nhưng không tách riêng được phần thu nhập phát sinh tại Việt Nam  thực hiện theo công thức sau:</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i/>
          <w:iCs/>
          <w:color w:val="000000"/>
          <w:spacing w:val="2"/>
          <w:kern w:val="0"/>
          <w:sz w:val="21"/>
          <w:szCs w:val="21"/>
          <w:shd w:val="clear" w:color="auto" w:fill="FFFFFF"/>
          <w14:ligatures w14:val="none"/>
        </w:rPr>
        <w:t>-</w:t>
      </w:r>
      <w:r w:rsidRPr="00894570">
        <w:rPr>
          <w:rFonts w:ascii="Arial" w:eastAsia="Times New Roman" w:hAnsi="Arial" w:cs="Arial"/>
          <w:i/>
          <w:iCs/>
          <w:color w:val="212529"/>
          <w:spacing w:val="2"/>
          <w:kern w:val="0"/>
          <w:sz w:val="21"/>
          <w:szCs w:val="21"/>
          <w:shd w:val="clear" w:color="auto" w:fill="FFFFFF"/>
          <w14:ligatures w14:val="none"/>
        </w:rPr>
        <w:t> </w:t>
      </w:r>
      <w:r w:rsidRPr="00894570">
        <w:rPr>
          <w:rFonts w:ascii="Arial" w:eastAsia="Times New Roman" w:hAnsi="Arial" w:cs="Arial"/>
          <w:color w:val="000000"/>
          <w:spacing w:val="2"/>
          <w:kern w:val="0"/>
          <w:sz w:val="21"/>
          <w:szCs w:val="21"/>
          <w:shd w:val="clear" w:color="auto" w:fill="FFFFFF"/>
          <w14:ligatures w14:val="none"/>
        </w:rPr>
        <w:t>Đối với trường hợp cá nhân người nước ngoài không hiện diện tại Việt Nam:</w:t>
      </w:r>
    </w:p>
    <w:tbl>
      <w:tblPr>
        <w:tblW w:w="11893" w:type="dxa"/>
        <w:jc w:val="center"/>
        <w:tblCellMar>
          <w:top w:w="75" w:type="dxa"/>
          <w:left w:w="75" w:type="dxa"/>
          <w:bottom w:w="75" w:type="dxa"/>
          <w:right w:w="75" w:type="dxa"/>
        </w:tblCellMar>
        <w:tblLook w:val="04A0" w:firstRow="1" w:lastRow="0" w:firstColumn="1" w:lastColumn="0" w:noHBand="0" w:noVBand="1"/>
      </w:tblPr>
      <w:tblGrid>
        <w:gridCol w:w="2273"/>
        <w:gridCol w:w="625"/>
        <w:gridCol w:w="3352"/>
        <w:gridCol w:w="682"/>
        <w:gridCol w:w="2177"/>
        <w:gridCol w:w="625"/>
        <w:gridCol w:w="2159"/>
      </w:tblGrid>
      <w:tr w:rsidR="00894570" w:rsidRPr="00894570" w:rsidTr="009953F9">
        <w:trPr>
          <w:trHeight w:val="698"/>
          <w:jc w:val="center"/>
        </w:trPr>
        <w:tc>
          <w:tcPr>
            <w:tcW w:w="2273" w:type="dxa"/>
            <w:vMerge w:val="restart"/>
            <w:shd w:val="clear" w:color="auto" w:fill="FFFFFF"/>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Tổng thu nhập phát sinh tại Việt Nam</w:t>
            </w:r>
          </w:p>
        </w:tc>
        <w:tc>
          <w:tcPr>
            <w:tcW w:w="625" w:type="dxa"/>
            <w:vMerge w:val="restart"/>
            <w:shd w:val="clear" w:color="auto" w:fill="FFFFFF"/>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w:t>
            </w:r>
          </w:p>
        </w:tc>
        <w:tc>
          <w:tcPr>
            <w:tcW w:w="3352" w:type="dxa"/>
            <w:tcBorders>
              <w:top w:val="nil"/>
              <w:left w:val="nil"/>
              <w:bottom w:val="single" w:sz="6" w:space="0" w:color="000000"/>
              <w:right w:val="nil"/>
            </w:tcBorders>
            <w:shd w:val="clear" w:color="auto" w:fill="FFFFFF"/>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Số ngày làm việc cho công việc tại Việt Nam</w:t>
            </w:r>
          </w:p>
        </w:tc>
        <w:tc>
          <w:tcPr>
            <w:tcW w:w="682" w:type="dxa"/>
            <w:vMerge w:val="restart"/>
            <w:shd w:val="clear" w:color="auto" w:fill="FFFFFF"/>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x</w:t>
            </w:r>
          </w:p>
        </w:tc>
        <w:tc>
          <w:tcPr>
            <w:tcW w:w="2177" w:type="dxa"/>
            <w:vMerge w:val="restart"/>
            <w:shd w:val="clear" w:color="auto" w:fill="FFFFFF"/>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Thu nhập từ tiền lương, tiền công toàn cầu (trước thuế)</w:t>
            </w:r>
          </w:p>
        </w:tc>
        <w:tc>
          <w:tcPr>
            <w:tcW w:w="625" w:type="dxa"/>
            <w:vMerge w:val="restart"/>
            <w:shd w:val="clear" w:color="auto" w:fill="FFFFFF"/>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w:t>
            </w:r>
          </w:p>
        </w:tc>
        <w:tc>
          <w:tcPr>
            <w:tcW w:w="2159" w:type="dxa"/>
            <w:vMerge w:val="restart"/>
            <w:shd w:val="clear" w:color="auto" w:fill="FFFFFF"/>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Thu nhập chịu thuế khác (trước thuế) phát sinh tại Việt Nam</w:t>
            </w:r>
            <w:r w:rsidRPr="00894570">
              <w:rPr>
                <w:rFonts w:ascii="Arial" w:eastAsia="Times New Roman" w:hAnsi="Arial" w:cs="Arial"/>
                <w:b/>
                <w:bCs/>
                <w:kern w:val="0"/>
                <w:sz w:val="21"/>
                <w:szCs w:val="21"/>
                <w14:ligatures w14:val="none"/>
              </w:rPr>
              <w:t> (*)</w:t>
            </w:r>
          </w:p>
        </w:tc>
      </w:tr>
      <w:tr w:rsidR="00894570" w:rsidRPr="00894570" w:rsidTr="009953F9">
        <w:trPr>
          <w:trHeight w:val="148"/>
          <w:jc w:val="center"/>
        </w:trPr>
        <w:tc>
          <w:tcPr>
            <w:tcW w:w="0" w:type="auto"/>
            <w:vMerge/>
            <w:vAlign w:val="center"/>
            <w:hideMark/>
          </w:tcPr>
          <w:p w:rsidR="00894570" w:rsidRPr="00894570" w:rsidRDefault="00894570" w:rsidP="00894570">
            <w:pPr>
              <w:rPr>
                <w:rFonts w:ascii="Times New Roman" w:eastAsia="Times New Roman" w:hAnsi="Times New Roman" w:cs="Times New Roman"/>
                <w:kern w:val="0"/>
                <w14:ligatures w14:val="none"/>
              </w:rPr>
            </w:pPr>
          </w:p>
        </w:tc>
        <w:tc>
          <w:tcPr>
            <w:tcW w:w="0" w:type="auto"/>
            <w:vMerge/>
            <w:vAlign w:val="center"/>
            <w:hideMark/>
          </w:tcPr>
          <w:p w:rsidR="00894570" w:rsidRPr="00894570" w:rsidRDefault="00894570" w:rsidP="00894570">
            <w:pPr>
              <w:rPr>
                <w:rFonts w:ascii="Times New Roman" w:eastAsia="Times New Roman" w:hAnsi="Times New Roman" w:cs="Times New Roman"/>
                <w:kern w:val="0"/>
                <w14:ligatures w14:val="none"/>
              </w:rPr>
            </w:pPr>
          </w:p>
        </w:tc>
        <w:tc>
          <w:tcPr>
            <w:tcW w:w="3352" w:type="dxa"/>
            <w:tcBorders>
              <w:top w:val="nil"/>
              <w:left w:val="nil"/>
              <w:bottom w:val="nil"/>
              <w:right w:val="nil"/>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Tổng số ngày làm việc trong năm</w:t>
            </w:r>
          </w:p>
        </w:tc>
        <w:tc>
          <w:tcPr>
            <w:tcW w:w="0" w:type="auto"/>
            <w:vMerge/>
            <w:vAlign w:val="center"/>
            <w:hideMark/>
          </w:tcPr>
          <w:p w:rsidR="00894570" w:rsidRPr="00894570" w:rsidRDefault="00894570" w:rsidP="00894570">
            <w:pPr>
              <w:rPr>
                <w:rFonts w:ascii="Times New Roman" w:eastAsia="Times New Roman" w:hAnsi="Times New Roman" w:cs="Times New Roman"/>
                <w:kern w:val="0"/>
                <w14:ligatures w14:val="none"/>
              </w:rPr>
            </w:pPr>
          </w:p>
        </w:tc>
        <w:tc>
          <w:tcPr>
            <w:tcW w:w="0" w:type="auto"/>
            <w:vMerge/>
            <w:vAlign w:val="center"/>
            <w:hideMark/>
          </w:tcPr>
          <w:p w:rsidR="00894570" w:rsidRPr="00894570" w:rsidRDefault="00894570" w:rsidP="00894570">
            <w:pPr>
              <w:rPr>
                <w:rFonts w:ascii="Times New Roman" w:eastAsia="Times New Roman" w:hAnsi="Times New Roman" w:cs="Times New Roman"/>
                <w:kern w:val="0"/>
                <w14:ligatures w14:val="none"/>
              </w:rPr>
            </w:pPr>
          </w:p>
        </w:tc>
        <w:tc>
          <w:tcPr>
            <w:tcW w:w="0" w:type="auto"/>
            <w:vMerge/>
            <w:vAlign w:val="center"/>
            <w:hideMark/>
          </w:tcPr>
          <w:p w:rsidR="00894570" w:rsidRPr="00894570" w:rsidRDefault="00894570" w:rsidP="00894570">
            <w:pPr>
              <w:rPr>
                <w:rFonts w:ascii="Times New Roman" w:eastAsia="Times New Roman" w:hAnsi="Times New Roman" w:cs="Times New Roman"/>
                <w:kern w:val="0"/>
                <w14:ligatures w14:val="none"/>
              </w:rPr>
            </w:pPr>
          </w:p>
        </w:tc>
        <w:tc>
          <w:tcPr>
            <w:tcW w:w="0" w:type="auto"/>
            <w:vMerge/>
            <w:vAlign w:val="center"/>
            <w:hideMark/>
          </w:tcPr>
          <w:p w:rsidR="00894570" w:rsidRPr="00894570" w:rsidRDefault="00894570" w:rsidP="00894570">
            <w:pPr>
              <w:rPr>
                <w:rFonts w:ascii="Times New Roman" w:eastAsia="Times New Roman" w:hAnsi="Times New Roman" w:cs="Times New Roman"/>
                <w:kern w:val="0"/>
                <w14:ligatures w14:val="none"/>
              </w:rPr>
            </w:pPr>
          </w:p>
        </w:tc>
      </w:tr>
    </w:tbl>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color w:val="000000"/>
          <w:spacing w:val="2"/>
          <w:kern w:val="0"/>
          <w:sz w:val="21"/>
          <w:szCs w:val="21"/>
          <w:shd w:val="clear" w:color="auto" w:fill="FFFFFF"/>
          <w14:ligatures w14:val="none"/>
        </w:rPr>
        <w:t>(Tổng số ngày làm việc trong năm được tính theo chế độ quy định tại</w:t>
      </w:r>
      <w:r w:rsidR="009953F9">
        <w:rPr>
          <w:rFonts w:ascii="Arial" w:eastAsia="Times New Roman" w:hAnsi="Arial" w:cs="Arial"/>
          <w:color w:val="000000"/>
          <w:spacing w:val="2"/>
          <w:kern w:val="0"/>
          <w:sz w:val="21"/>
          <w:szCs w:val="21"/>
          <w:shd w:val="clear" w:color="auto" w:fill="FFFFFF"/>
          <w:lang w:val="vi-VN"/>
          <w14:ligatures w14:val="none"/>
        </w:rPr>
        <w:t xml:space="preserve"> Bộ luật Lao động</w:t>
      </w:r>
      <w:r w:rsidRPr="00894570">
        <w:rPr>
          <w:rFonts w:ascii="Arial" w:eastAsia="Times New Roman" w:hAnsi="Arial" w:cs="Arial"/>
          <w:i/>
          <w:iCs/>
          <w:color w:val="000000"/>
          <w:spacing w:val="2"/>
          <w:kern w:val="0"/>
          <w:sz w:val="21"/>
          <w:szCs w:val="21"/>
          <w:shd w:val="clear" w:color="auto" w:fill="FFFFFF"/>
          <w14:ligatures w14:val="none"/>
        </w:rPr>
        <w:t> </w:t>
      </w:r>
      <w:r w:rsidRPr="00894570">
        <w:rPr>
          <w:rFonts w:ascii="Arial" w:eastAsia="Times New Roman" w:hAnsi="Arial" w:cs="Arial"/>
          <w:color w:val="000000"/>
          <w:spacing w:val="2"/>
          <w:kern w:val="0"/>
          <w:sz w:val="21"/>
          <w:szCs w:val="21"/>
          <w:shd w:val="clear" w:color="auto" w:fill="FFFFFF"/>
          <w14:ligatures w14:val="none"/>
        </w:rPr>
        <w:t>của Việt Nam).</w:t>
      </w:r>
    </w:p>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i/>
          <w:iCs/>
          <w:color w:val="000000"/>
          <w:spacing w:val="2"/>
          <w:kern w:val="0"/>
          <w:sz w:val="21"/>
          <w:szCs w:val="21"/>
          <w:shd w:val="clear" w:color="auto" w:fill="FFFFFF"/>
          <w14:ligatures w14:val="none"/>
        </w:rPr>
        <w:t>-</w:t>
      </w:r>
      <w:r w:rsidRPr="00894570">
        <w:rPr>
          <w:rFonts w:ascii="Arial" w:eastAsia="Times New Roman" w:hAnsi="Arial" w:cs="Arial"/>
          <w:b/>
          <w:bCs/>
          <w:i/>
          <w:iCs/>
          <w:color w:val="000000"/>
          <w:spacing w:val="2"/>
          <w:kern w:val="0"/>
          <w:sz w:val="21"/>
          <w:szCs w:val="21"/>
          <w:shd w:val="clear" w:color="auto" w:fill="FFFFFF"/>
          <w14:ligatures w14:val="none"/>
        </w:rPr>
        <w:t> </w:t>
      </w:r>
      <w:r w:rsidRPr="00894570">
        <w:rPr>
          <w:rFonts w:ascii="Arial" w:eastAsia="Times New Roman" w:hAnsi="Arial" w:cs="Arial"/>
          <w:i/>
          <w:iCs/>
          <w:color w:val="212529"/>
          <w:spacing w:val="2"/>
          <w:kern w:val="0"/>
          <w:sz w:val="21"/>
          <w:szCs w:val="21"/>
          <w:shd w:val="clear" w:color="auto" w:fill="FFFFFF"/>
          <w14:ligatures w14:val="none"/>
        </w:rPr>
        <w:t> </w:t>
      </w:r>
      <w:r w:rsidRPr="00894570">
        <w:rPr>
          <w:rFonts w:ascii="Arial" w:eastAsia="Times New Roman" w:hAnsi="Arial" w:cs="Arial"/>
          <w:color w:val="000000"/>
          <w:spacing w:val="2"/>
          <w:kern w:val="0"/>
          <w:sz w:val="21"/>
          <w:szCs w:val="21"/>
          <w:shd w:val="clear" w:color="auto" w:fill="FFFFFF"/>
          <w14:ligatures w14:val="none"/>
        </w:rPr>
        <w:t>Đối với các trường hợp cá nhân người nước ngoài hiện diện tại Việt Nam:</w:t>
      </w:r>
    </w:p>
    <w:tbl>
      <w:tblPr>
        <w:tblW w:w="11268" w:type="dxa"/>
        <w:jc w:val="center"/>
        <w:tblCellMar>
          <w:top w:w="75" w:type="dxa"/>
          <w:left w:w="75" w:type="dxa"/>
          <w:bottom w:w="75" w:type="dxa"/>
          <w:right w:w="75" w:type="dxa"/>
        </w:tblCellMar>
        <w:tblLook w:val="04A0" w:firstRow="1" w:lastRow="0" w:firstColumn="1" w:lastColumn="0" w:noHBand="0" w:noVBand="1"/>
      </w:tblPr>
      <w:tblGrid>
        <w:gridCol w:w="1869"/>
        <w:gridCol w:w="635"/>
        <w:gridCol w:w="2467"/>
        <w:gridCol w:w="691"/>
        <w:gridCol w:w="2392"/>
        <w:gridCol w:w="654"/>
        <w:gridCol w:w="2560"/>
      </w:tblGrid>
      <w:tr w:rsidR="00894570" w:rsidRPr="00894570" w:rsidTr="009953F9">
        <w:trPr>
          <w:trHeight w:val="702"/>
          <w:jc w:val="center"/>
        </w:trPr>
        <w:tc>
          <w:tcPr>
            <w:tcW w:w="1869" w:type="dxa"/>
            <w:vMerge w:val="restart"/>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Tổng thu nhập phát sinh tại Việt Nam</w:t>
            </w:r>
          </w:p>
        </w:tc>
        <w:tc>
          <w:tcPr>
            <w:tcW w:w="635" w:type="dxa"/>
            <w:vMerge w:val="restart"/>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w:t>
            </w:r>
          </w:p>
        </w:tc>
        <w:tc>
          <w:tcPr>
            <w:tcW w:w="2467" w:type="dxa"/>
            <w:tcBorders>
              <w:top w:val="nil"/>
              <w:left w:val="nil"/>
              <w:bottom w:val="single" w:sz="6" w:space="0" w:color="000000"/>
              <w:right w:val="nil"/>
            </w:tcBorders>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Số ngày có mặt ở Việt Nam</w:t>
            </w:r>
          </w:p>
        </w:tc>
        <w:tc>
          <w:tcPr>
            <w:tcW w:w="691" w:type="dxa"/>
            <w:vMerge w:val="restart"/>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x</w:t>
            </w:r>
          </w:p>
        </w:tc>
        <w:tc>
          <w:tcPr>
            <w:tcW w:w="2392" w:type="dxa"/>
            <w:vMerge w:val="restart"/>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Thu nhập từ tiền lương, tiền công toàn cầu (trước thuế)</w:t>
            </w:r>
          </w:p>
        </w:tc>
        <w:tc>
          <w:tcPr>
            <w:tcW w:w="654" w:type="dxa"/>
            <w:vMerge w:val="restart"/>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w:t>
            </w:r>
          </w:p>
        </w:tc>
        <w:tc>
          <w:tcPr>
            <w:tcW w:w="2560" w:type="dxa"/>
            <w:vMerge w:val="restart"/>
            <w:vAlign w:val="center"/>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Thu nhập chịu thuế khác (trước thuế) phát sinh tại Việt Nam</w:t>
            </w:r>
            <w:r w:rsidRPr="00894570">
              <w:rPr>
                <w:rFonts w:ascii="Arial" w:eastAsia="Times New Roman" w:hAnsi="Arial" w:cs="Arial"/>
                <w:b/>
                <w:bCs/>
                <w:kern w:val="0"/>
                <w:sz w:val="21"/>
                <w:szCs w:val="21"/>
                <w14:ligatures w14:val="none"/>
              </w:rPr>
              <w:t> (*)</w:t>
            </w:r>
          </w:p>
        </w:tc>
      </w:tr>
      <w:tr w:rsidR="00894570" w:rsidRPr="00894570" w:rsidTr="009953F9">
        <w:trPr>
          <w:trHeight w:val="149"/>
          <w:jc w:val="center"/>
        </w:trPr>
        <w:tc>
          <w:tcPr>
            <w:tcW w:w="0" w:type="auto"/>
            <w:vMerge/>
            <w:vAlign w:val="center"/>
            <w:hideMark/>
          </w:tcPr>
          <w:p w:rsidR="00894570" w:rsidRPr="00894570" w:rsidRDefault="00894570" w:rsidP="00894570">
            <w:pPr>
              <w:rPr>
                <w:rFonts w:ascii="Times New Roman" w:eastAsia="Times New Roman" w:hAnsi="Times New Roman" w:cs="Times New Roman"/>
                <w:kern w:val="0"/>
                <w14:ligatures w14:val="none"/>
              </w:rPr>
            </w:pPr>
          </w:p>
        </w:tc>
        <w:tc>
          <w:tcPr>
            <w:tcW w:w="0" w:type="auto"/>
            <w:vMerge/>
            <w:vAlign w:val="center"/>
            <w:hideMark/>
          </w:tcPr>
          <w:p w:rsidR="00894570" w:rsidRPr="00894570" w:rsidRDefault="00894570" w:rsidP="00894570">
            <w:pPr>
              <w:rPr>
                <w:rFonts w:ascii="Times New Roman" w:eastAsia="Times New Roman" w:hAnsi="Times New Roman" w:cs="Times New Roman"/>
                <w:kern w:val="0"/>
                <w14:ligatures w14:val="none"/>
              </w:rPr>
            </w:pPr>
          </w:p>
        </w:tc>
        <w:tc>
          <w:tcPr>
            <w:tcW w:w="2467" w:type="dxa"/>
            <w:tcBorders>
              <w:top w:val="nil"/>
              <w:left w:val="nil"/>
              <w:bottom w:val="nil"/>
              <w:right w:val="nil"/>
            </w:tcBorders>
            <w:hideMark/>
          </w:tcPr>
          <w:p w:rsidR="00894570" w:rsidRPr="00894570" w:rsidRDefault="00894570" w:rsidP="00894570">
            <w:pPr>
              <w:spacing w:after="120"/>
              <w:jc w:val="center"/>
              <w:rPr>
                <w:rFonts w:ascii="Times New Roman" w:eastAsia="Times New Roman" w:hAnsi="Times New Roman" w:cs="Times New Roman"/>
                <w:kern w:val="0"/>
                <w14:ligatures w14:val="none"/>
              </w:rPr>
            </w:pPr>
            <w:r w:rsidRPr="00894570">
              <w:rPr>
                <w:rFonts w:ascii="Arial" w:eastAsia="Times New Roman" w:hAnsi="Arial" w:cs="Arial"/>
                <w:b/>
                <w:bCs/>
                <w:color w:val="000000"/>
                <w:kern w:val="0"/>
                <w:sz w:val="21"/>
                <w:szCs w:val="21"/>
                <w14:ligatures w14:val="none"/>
              </w:rPr>
              <w:t>365 ngày</w:t>
            </w:r>
          </w:p>
        </w:tc>
        <w:tc>
          <w:tcPr>
            <w:tcW w:w="0" w:type="auto"/>
            <w:vMerge/>
            <w:vAlign w:val="center"/>
            <w:hideMark/>
          </w:tcPr>
          <w:p w:rsidR="00894570" w:rsidRPr="00894570" w:rsidRDefault="00894570" w:rsidP="00894570">
            <w:pPr>
              <w:rPr>
                <w:rFonts w:ascii="Times New Roman" w:eastAsia="Times New Roman" w:hAnsi="Times New Roman" w:cs="Times New Roman"/>
                <w:kern w:val="0"/>
                <w14:ligatures w14:val="none"/>
              </w:rPr>
            </w:pPr>
          </w:p>
        </w:tc>
        <w:tc>
          <w:tcPr>
            <w:tcW w:w="0" w:type="auto"/>
            <w:vMerge/>
            <w:vAlign w:val="center"/>
            <w:hideMark/>
          </w:tcPr>
          <w:p w:rsidR="00894570" w:rsidRPr="00894570" w:rsidRDefault="00894570" w:rsidP="00894570">
            <w:pPr>
              <w:rPr>
                <w:rFonts w:ascii="Times New Roman" w:eastAsia="Times New Roman" w:hAnsi="Times New Roman" w:cs="Times New Roman"/>
                <w:kern w:val="0"/>
                <w14:ligatures w14:val="none"/>
              </w:rPr>
            </w:pPr>
          </w:p>
        </w:tc>
        <w:tc>
          <w:tcPr>
            <w:tcW w:w="0" w:type="auto"/>
            <w:vMerge/>
            <w:vAlign w:val="center"/>
            <w:hideMark/>
          </w:tcPr>
          <w:p w:rsidR="00894570" w:rsidRPr="00894570" w:rsidRDefault="00894570" w:rsidP="00894570">
            <w:pPr>
              <w:rPr>
                <w:rFonts w:ascii="Times New Roman" w:eastAsia="Times New Roman" w:hAnsi="Times New Roman" w:cs="Times New Roman"/>
                <w:kern w:val="0"/>
                <w14:ligatures w14:val="none"/>
              </w:rPr>
            </w:pPr>
          </w:p>
        </w:tc>
        <w:tc>
          <w:tcPr>
            <w:tcW w:w="0" w:type="auto"/>
            <w:vMerge/>
            <w:vAlign w:val="center"/>
            <w:hideMark/>
          </w:tcPr>
          <w:p w:rsidR="00894570" w:rsidRPr="00894570" w:rsidRDefault="00894570" w:rsidP="00894570">
            <w:pPr>
              <w:rPr>
                <w:rFonts w:ascii="Times New Roman" w:eastAsia="Times New Roman" w:hAnsi="Times New Roman" w:cs="Times New Roman"/>
                <w:kern w:val="0"/>
                <w14:ligatures w14:val="none"/>
              </w:rPr>
            </w:pPr>
          </w:p>
        </w:tc>
      </w:tr>
    </w:tbl>
    <w:p w:rsidR="00894570" w:rsidRPr="00894570" w:rsidRDefault="00894570" w:rsidP="00894570">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894570">
        <w:rPr>
          <w:rFonts w:ascii="Arial" w:eastAsia="Times New Roman" w:hAnsi="Arial" w:cs="Arial"/>
          <w:b/>
          <w:bCs/>
          <w:color w:val="000000"/>
          <w:spacing w:val="2"/>
          <w:kern w:val="0"/>
          <w:sz w:val="21"/>
          <w:szCs w:val="21"/>
          <w:shd w:val="clear" w:color="auto" w:fill="FFFFFF"/>
          <w14:ligatures w14:val="none"/>
        </w:rPr>
        <w:t>(*)</w:t>
      </w:r>
      <w:r w:rsidRPr="00894570">
        <w:rPr>
          <w:rFonts w:ascii="Arial" w:eastAsia="Times New Roman" w:hAnsi="Arial" w:cs="Arial"/>
          <w:color w:val="000000"/>
          <w:spacing w:val="2"/>
          <w:kern w:val="0"/>
          <w:sz w:val="21"/>
          <w:szCs w:val="21"/>
          <w:shd w:val="clear" w:color="auto" w:fill="FFFFFF"/>
          <w14:ligatures w14:val="none"/>
        </w:rPr>
        <w:t> Thu nhập chịu thuế khác (trước thuế) phát sinh tại Việt Nam tại các trường hợp nêu trên là các khoản lợi ích khác bằng tiền hoặc không bằng tiền mà người lao động được hưởng ngoài tiền lương, tiền công do người sử dụng lao động trả hoặc trả hộ cho người lao động.</w:t>
      </w:r>
    </w:p>
    <w:p w:rsidR="00894570" w:rsidRDefault="00894570"/>
    <w:sectPr w:rsidR="008945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57268"/>
    <w:multiLevelType w:val="multilevel"/>
    <w:tmpl w:val="8572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36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70"/>
    <w:rsid w:val="00894570"/>
    <w:rsid w:val="009953F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C5F655F"/>
  <w15:chartTrackingRefBased/>
  <w15:docId w15:val="{C8E3728D-61DD-B144-A1A1-1A653A5C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4570"/>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9457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94570"/>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57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9457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94570"/>
    <w:rPr>
      <w:rFonts w:ascii="Times New Roman" w:eastAsia="Times New Roman" w:hAnsi="Times New Roman" w:cs="Times New Roman"/>
      <w:b/>
      <w:bCs/>
      <w:kern w:val="0"/>
      <w:sz w:val="27"/>
      <w:szCs w:val="27"/>
      <w14:ligatures w14:val="none"/>
    </w:rPr>
  </w:style>
  <w:style w:type="character" w:customStyle="1" w:styleId="float-right">
    <w:name w:val="float-right"/>
    <w:basedOn w:val="DefaultParagraphFont"/>
    <w:rsid w:val="00894570"/>
  </w:style>
  <w:style w:type="paragraph" w:customStyle="1" w:styleId="pintro">
    <w:name w:val="pintro"/>
    <w:basedOn w:val="Normal"/>
    <w:rsid w:val="0089457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94570"/>
    <w:rPr>
      <w:color w:val="0000FF"/>
      <w:u w:val="single"/>
    </w:rPr>
  </w:style>
  <w:style w:type="paragraph" w:customStyle="1" w:styleId="h2-li">
    <w:name w:val="h2-li"/>
    <w:basedOn w:val="Normal"/>
    <w:rsid w:val="00894570"/>
    <w:pPr>
      <w:spacing w:before="100" w:beforeAutospacing="1" w:after="100" w:afterAutospacing="1"/>
    </w:pPr>
    <w:rPr>
      <w:rFonts w:ascii="Times New Roman" w:eastAsia="Times New Roman" w:hAnsi="Times New Roman" w:cs="Times New Roman"/>
      <w:kern w:val="0"/>
      <w14:ligatures w14:val="none"/>
    </w:rPr>
  </w:style>
  <w:style w:type="paragraph" w:customStyle="1" w:styleId="h3-li">
    <w:name w:val="h3-li"/>
    <w:basedOn w:val="Normal"/>
    <w:rsid w:val="0089457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94570"/>
    <w:rPr>
      <w:b/>
      <w:bCs/>
    </w:rPr>
  </w:style>
  <w:style w:type="paragraph" w:styleId="NormalWeb">
    <w:name w:val="Normal (Web)"/>
    <w:basedOn w:val="Normal"/>
    <w:uiPriority w:val="99"/>
    <w:semiHidden/>
    <w:unhideWhenUsed/>
    <w:rsid w:val="00894570"/>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945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94040">
      <w:bodyDiv w:val="1"/>
      <w:marLeft w:val="0"/>
      <w:marRight w:val="0"/>
      <w:marTop w:val="0"/>
      <w:marBottom w:val="0"/>
      <w:divBdr>
        <w:top w:val="none" w:sz="0" w:space="0" w:color="auto"/>
        <w:left w:val="none" w:sz="0" w:space="0" w:color="auto"/>
        <w:bottom w:val="none" w:sz="0" w:space="0" w:color="auto"/>
        <w:right w:val="none" w:sz="0" w:space="0" w:color="auto"/>
      </w:divBdr>
      <w:divsChild>
        <w:div w:id="1787460854">
          <w:marLeft w:val="0"/>
          <w:marRight w:val="0"/>
          <w:marTop w:val="0"/>
          <w:marBottom w:val="120"/>
          <w:divBdr>
            <w:top w:val="none" w:sz="0" w:space="0" w:color="auto"/>
            <w:left w:val="none" w:sz="0" w:space="0" w:color="auto"/>
            <w:bottom w:val="none" w:sz="0" w:space="0" w:color="auto"/>
            <w:right w:val="none" w:sz="0" w:space="0" w:color="auto"/>
          </w:divBdr>
        </w:div>
        <w:div w:id="285241348">
          <w:marLeft w:val="0"/>
          <w:marRight w:val="0"/>
          <w:marTop w:val="100"/>
          <w:marBottom w:val="100"/>
          <w:divBdr>
            <w:top w:val="single" w:sz="6" w:space="0" w:color="DEE2E6"/>
            <w:left w:val="single" w:sz="6" w:space="0" w:color="DEE2E6"/>
            <w:bottom w:val="single" w:sz="6" w:space="0" w:color="DEE2E6"/>
            <w:right w:val="single" w:sz="6" w:space="0" w:color="DEE2E6"/>
          </w:divBdr>
          <w:divsChild>
            <w:div w:id="453596672">
              <w:marLeft w:val="0"/>
              <w:marRight w:val="0"/>
              <w:marTop w:val="0"/>
              <w:marBottom w:val="0"/>
              <w:divBdr>
                <w:top w:val="none" w:sz="0" w:space="0" w:color="auto"/>
                <w:left w:val="none" w:sz="0" w:space="0" w:color="auto"/>
                <w:bottom w:val="single" w:sz="6" w:space="0" w:color="DEE2E6"/>
                <w:right w:val="none" w:sz="0" w:space="0" w:color="auto"/>
              </w:divBdr>
            </w:div>
          </w:divsChild>
        </w:div>
        <w:div w:id="733240010">
          <w:marLeft w:val="0"/>
          <w:marRight w:val="0"/>
          <w:marTop w:val="0"/>
          <w:marBottom w:val="0"/>
          <w:divBdr>
            <w:top w:val="none" w:sz="0" w:space="0" w:color="auto"/>
            <w:left w:val="none" w:sz="0" w:space="0" w:color="auto"/>
            <w:bottom w:val="none" w:sz="0" w:space="0" w:color="auto"/>
            <w:right w:val="none" w:sz="0" w:space="0" w:color="auto"/>
          </w:divBdr>
        </w:div>
        <w:div w:id="1806384840">
          <w:marLeft w:val="0"/>
          <w:marRight w:val="0"/>
          <w:marTop w:val="0"/>
          <w:marBottom w:val="0"/>
          <w:divBdr>
            <w:top w:val="none" w:sz="0" w:space="0" w:color="auto"/>
            <w:left w:val="none" w:sz="0" w:space="0" w:color="auto"/>
            <w:bottom w:val="none" w:sz="0" w:space="0" w:color="auto"/>
            <w:right w:val="none" w:sz="0" w:space="0" w:color="auto"/>
          </w:divBdr>
        </w:div>
        <w:div w:id="1285504611">
          <w:marLeft w:val="0"/>
          <w:marRight w:val="0"/>
          <w:marTop w:val="0"/>
          <w:marBottom w:val="0"/>
          <w:divBdr>
            <w:top w:val="none" w:sz="0" w:space="0" w:color="auto"/>
            <w:left w:val="none" w:sz="0" w:space="0" w:color="auto"/>
            <w:bottom w:val="none" w:sz="0" w:space="0" w:color="auto"/>
            <w:right w:val="none" w:sz="0" w:space="0" w:color="auto"/>
          </w:divBdr>
        </w:div>
        <w:div w:id="246307195">
          <w:marLeft w:val="0"/>
          <w:marRight w:val="0"/>
          <w:marTop w:val="0"/>
          <w:marBottom w:val="0"/>
          <w:divBdr>
            <w:top w:val="none" w:sz="0" w:space="0" w:color="auto"/>
            <w:left w:val="none" w:sz="0" w:space="0" w:color="auto"/>
            <w:bottom w:val="none" w:sz="0" w:space="0" w:color="auto"/>
            <w:right w:val="none" w:sz="0" w:space="0" w:color="auto"/>
          </w:divBdr>
        </w:div>
        <w:div w:id="464543833">
          <w:marLeft w:val="0"/>
          <w:marRight w:val="0"/>
          <w:marTop w:val="0"/>
          <w:marBottom w:val="0"/>
          <w:divBdr>
            <w:top w:val="none" w:sz="0" w:space="0" w:color="auto"/>
            <w:left w:val="none" w:sz="0" w:space="0" w:color="auto"/>
            <w:bottom w:val="none" w:sz="0" w:space="0" w:color="auto"/>
            <w:right w:val="none" w:sz="0" w:space="0" w:color="auto"/>
          </w:divBdr>
        </w:div>
        <w:div w:id="401028338">
          <w:marLeft w:val="0"/>
          <w:marRight w:val="0"/>
          <w:marTop w:val="0"/>
          <w:marBottom w:val="0"/>
          <w:divBdr>
            <w:top w:val="none" w:sz="0" w:space="0" w:color="auto"/>
            <w:left w:val="none" w:sz="0" w:space="0" w:color="auto"/>
            <w:bottom w:val="none" w:sz="0" w:space="0" w:color="auto"/>
            <w:right w:val="none" w:sz="0" w:space="0" w:color="auto"/>
          </w:divBdr>
        </w:div>
        <w:div w:id="1274437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1040</Words>
  <Characters>5931</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2023-12-11T08:58:00Z</dcterms:created>
  <dcterms:modified xsi:type="dcterms:W3CDTF">2023-12-11T08:58:00Z</dcterms:modified>
</cp:coreProperties>
</file>