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10" w:rsidRPr="00865374" w:rsidRDefault="00442910" w:rsidP="006D5AE7">
      <w:pPr>
        <w:spacing w:after="0" w:line="240" w:lineRule="auto"/>
        <w:textAlignment w:val="center"/>
        <w:rPr>
          <w:rFonts w:ascii="Times New Roman" w:eastAsia="Times New Roman" w:hAnsi="Times New Roman" w:cs="Times New Roman"/>
          <w:b/>
          <w:color w:val="000000"/>
          <w:sz w:val="24"/>
          <w:szCs w:val="24"/>
        </w:rPr>
      </w:pPr>
      <w:bookmarkStart w:id="0" w:name="_GoBack"/>
      <w:r w:rsidRPr="00865374">
        <w:rPr>
          <w:rFonts w:ascii="Times New Roman" w:eastAsia="Times New Roman" w:hAnsi="Times New Roman" w:cs="Times New Roman"/>
          <w:color w:val="000000"/>
          <w:sz w:val="24"/>
          <w:szCs w:val="24"/>
        </w:rPr>
        <w:tab/>
      </w:r>
      <w:r w:rsidRPr="00865374">
        <w:rPr>
          <w:rFonts w:ascii="Times New Roman" w:eastAsia="Times New Roman" w:hAnsi="Times New Roman" w:cs="Times New Roman"/>
          <w:b/>
          <w:color w:val="000000"/>
          <w:sz w:val="24"/>
          <w:szCs w:val="24"/>
        </w:rPr>
        <w:t>SỰ PHÙ HỢP GIỮA CÁC NGUYÊN TẮC KẾ TOÁN CHUNG ĐƯỢC THỪA NHẬN VÀ CHUẨN MỰC BÁO CÁO TÀI CHÍNH QUỐC TẾ TRONG CÁC LĨNH VỰC CƠ BẢN.</w:t>
      </w:r>
    </w:p>
    <w:p w:rsidR="00442910" w:rsidRPr="00865374" w:rsidRDefault="00442910" w:rsidP="00442910">
      <w:pPr>
        <w:pStyle w:val="HTMLPreformatted"/>
        <w:shd w:val="clear" w:color="auto" w:fill="FFFFFF"/>
        <w:spacing w:line="360" w:lineRule="auto"/>
        <w:rPr>
          <w:rFonts w:ascii="Times New Roman" w:hAnsi="Times New Roman" w:cs="Times New Roman"/>
          <w:color w:val="212121"/>
          <w:sz w:val="24"/>
          <w:szCs w:val="24"/>
        </w:rPr>
      </w:pPr>
      <w:r w:rsidRPr="00865374">
        <w:rPr>
          <w:rFonts w:ascii="Times New Roman" w:hAnsi="Times New Roman" w:cs="Times New Roman"/>
          <w:color w:val="000000"/>
          <w:sz w:val="24"/>
          <w:szCs w:val="24"/>
        </w:rPr>
        <w:tab/>
      </w:r>
      <w:r w:rsidR="0031160E" w:rsidRPr="00865374">
        <w:rPr>
          <w:rFonts w:ascii="Times New Roman" w:hAnsi="Times New Roman" w:cs="Times New Roman"/>
          <w:color w:val="000000"/>
          <w:sz w:val="24"/>
          <w:szCs w:val="24"/>
        </w:rPr>
        <w:t xml:space="preserve">Hiện nay, </w:t>
      </w:r>
      <w:r w:rsidR="0031160E" w:rsidRPr="00865374">
        <w:rPr>
          <w:rFonts w:ascii="Times New Roman" w:hAnsi="Times New Roman" w:cs="Times New Roman"/>
          <w:color w:val="212121"/>
          <w:sz w:val="24"/>
          <w:szCs w:val="24"/>
          <w:lang w:val="vi-VN"/>
        </w:rPr>
        <w:t xml:space="preserve">giữa </w:t>
      </w:r>
      <w:r w:rsidR="0031160E" w:rsidRPr="00865374">
        <w:rPr>
          <w:rFonts w:ascii="Times New Roman" w:hAnsi="Times New Roman" w:cs="Times New Roman"/>
          <w:color w:val="212121"/>
          <w:sz w:val="24"/>
          <w:szCs w:val="24"/>
        </w:rPr>
        <w:t>các n</w:t>
      </w:r>
      <w:r w:rsidR="0031160E" w:rsidRPr="00865374">
        <w:rPr>
          <w:rFonts w:ascii="Times New Roman" w:hAnsi="Times New Roman" w:cs="Times New Roman"/>
          <w:color w:val="212121"/>
          <w:sz w:val="24"/>
          <w:szCs w:val="24"/>
          <w:lang w:val="vi-VN"/>
        </w:rPr>
        <w:t>guyên tắc kế toán</w:t>
      </w:r>
      <w:r w:rsidR="0031160E" w:rsidRPr="00865374">
        <w:rPr>
          <w:rFonts w:ascii="Times New Roman" w:hAnsi="Times New Roman" w:cs="Times New Roman"/>
          <w:color w:val="212121"/>
          <w:sz w:val="24"/>
          <w:szCs w:val="24"/>
        </w:rPr>
        <w:t xml:space="preserve"> chung </w:t>
      </w:r>
      <w:r w:rsidR="0031160E" w:rsidRPr="00865374">
        <w:rPr>
          <w:rFonts w:ascii="Times New Roman" w:hAnsi="Times New Roman" w:cs="Times New Roman"/>
          <w:color w:val="212121"/>
          <w:sz w:val="24"/>
          <w:szCs w:val="24"/>
          <w:lang w:val="vi-VN"/>
        </w:rPr>
        <w:t xml:space="preserve"> được </w:t>
      </w:r>
      <w:r w:rsidR="0031160E" w:rsidRPr="00865374">
        <w:rPr>
          <w:rFonts w:ascii="Times New Roman" w:hAnsi="Times New Roman" w:cs="Times New Roman"/>
          <w:color w:val="212121"/>
          <w:sz w:val="24"/>
          <w:szCs w:val="24"/>
        </w:rPr>
        <w:t>thừa</w:t>
      </w:r>
      <w:r w:rsidR="0031160E" w:rsidRPr="00865374">
        <w:rPr>
          <w:rFonts w:ascii="Times New Roman" w:hAnsi="Times New Roman" w:cs="Times New Roman"/>
          <w:color w:val="212121"/>
          <w:sz w:val="24"/>
          <w:szCs w:val="24"/>
          <w:lang w:val="vi-VN"/>
        </w:rPr>
        <w:t xml:space="preserve"> nhận chung (GAAP) và </w:t>
      </w:r>
      <w:r w:rsidR="0031160E" w:rsidRPr="00865374">
        <w:rPr>
          <w:rFonts w:ascii="Times New Roman" w:hAnsi="Times New Roman" w:cs="Times New Roman"/>
          <w:color w:val="212121"/>
          <w:sz w:val="24"/>
          <w:szCs w:val="24"/>
        </w:rPr>
        <w:t xml:space="preserve">Chuẩn mực </w:t>
      </w:r>
      <w:r w:rsidR="0031160E" w:rsidRPr="00865374">
        <w:rPr>
          <w:rFonts w:ascii="Times New Roman" w:hAnsi="Times New Roman" w:cs="Times New Roman"/>
          <w:color w:val="212121"/>
          <w:sz w:val="24"/>
          <w:szCs w:val="24"/>
          <w:lang w:val="vi-VN"/>
        </w:rPr>
        <w:t xml:space="preserve"> báo cáo tài chính quốc tế (IFRS)</w:t>
      </w:r>
      <w:r w:rsidR="0031160E" w:rsidRPr="00865374">
        <w:rPr>
          <w:rFonts w:ascii="Times New Roman" w:hAnsi="Times New Roman" w:cs="Times New Roman"/>
          <w:color w:val="212121"/>
          <w:sz w:val="24"/>
          <w:szCs w:val="24"/>
        </w:rPr>
        <w:t xml:space="preserve"> đã có sự hòa hợp nhằm </w:t>
      </w:r>
      <w:r w:rsidR="0031160E" w:rsidRPr="00865374">
        <w:rPr>
          <w:rFonts w:ascii="Times New Roman" w:hAnsi="Times New Roman" w:cs="Times New Roman"/>
          <w:color w:val="212121"/>
          <w:sz w:val="24"/>
          <w:szCs w:val="24"/>
          <w:lang w:val="vi-VN"/>
        </w:rPr>
        <w:t xml:space="preserve"> nhằm tránh xung đột và nhầm lẫn, thúc đẩy sự đơn giản, tinh giản, nhất quán và minh bạch, và tránh khủng hoảng tài chính trong tương lai </w:t>
      </w:r>
      <w:r w:rsidR="0031160E" w:rsidRPr="00865374">
        <w:rPr>
          <w:rFonts w:ascii="Times New Roman" w:hAnsi="Times New Roman" w:cs="Times New Roman"/>
          <w:color w:val="212121"/>
          <w:sz w:val="24"/>
          <w:szCs w:val="24"/>
        </w:rPr>
        <w:t>mà doanh nghiệp sẽ gặp phải.</w:t>
      </w:r>
      <w:r w:rsidRPr="00865374">
        <w:rPr>
          <w:rFonts w:ascii="Times New Roman" w:hAnsi="Times New Roman" w:cs="Times New Roman"/>
          <w:color w:val="212121"/>
          <w:sz w:val="24"/>
          <w:szCs w:val="24"/>
        </w:rPr>
        <w:t xml:space="preserve"> </w:t>
      </w:r>
      <w:r w:rsidR="009768EB" w:rsidRPr="00865374">
        <w:rPr>
          <w:rFonts w:ascii="Times New Roman" w:hAnsi="Times New Roman" w:cs="Times New Roman"/>
          <w:color w:val="212121"/>
          <w:sz w:val="24"/>
          <w:szCs w:val="24"/>
          <w:lang w:val="vi-VN"/>
        </w:rPr>
        <w:t xml:space="preserve">Mặc dù </w:t>
      </w:r>
      <w:r w:rsidR="009768EB" w:rsidRPr="00865374">
        <w:rPr>
          <w:rFonts w:ascii="Times New Roman" w:hAnsi="Times New Roman" w:cs="Times New Roman"/>
          <w:color w:val="212121"/>
          <w:sz w:val="24"/>
          <w:szCs w:val="24"/>
        </w:rPr>
        <w:t xml:space="preserve">đã </w:t>
      </w:r>
      <w:r w:rsidR="009768EB" w:rsidRPr="00865374">
        <w:rPr>
          <w:rFonts w:ascii="Times New Roman" w:hAnsi="Times New Roman" w:cs="Times New Roman"/>
          <w:color w:val="212121"/>
          <w:sz w:val="24"/>
          <w:szCs w:val="24"/>
          <w:lang w:val="vi-VN"/>
        </w:rPr>
        <w:t>có bằng chứng nghiên cứu về</w:t>
      </w:r>
      <w:r w:rsidR="009768EB" w:rsidRPr="00865374">
        <w:rPr>
          <w:rFonts w:ascii="Times New Roman" w:hAnsi="Times New Roman" w:cs="Times New Roman"/>
          <w:color w:val="212121"/>
          <w:sz w:val="24"/>
          <w:szCs w:val="24"/>
        </w:rPr>
        <w:t xml:space="preserve"> việc nâng cao chất lượng kế toán khi </w:t>
      </w:r>
      <w:r w:rsidR="009768EB" w:rsidRPr="00865374">
        <w:rPr>
          <w:rFonts w:ascii="Times New Roman" w:hAnsi="Times New Roman" w:cs="Times New Roman"/>
          <w:color w:val="212121"/>
          <w:sz w:val="24"/>
          <w:szCs w:val="24"/>
          <w:lang w:val="vi-VN"/>
        </w:rPr>
        <w:t xml:space="preserve"> doanh nghiệp áp dụng các tiêu chuẩn IFRS </w:t>
      </w:r>
      <w:r w:rsidR="009768EB" w:rsidRPr="00865374">
        <w:rPr>
          <w:rFonts w:ascii="Times New Roman" w:hAnsi="Times New Roman" w:cs="Times New Roman"/>
          <w:color w:val="212121"/>
          <w:sz w:val="24"/>
          <w:szCs w:val="24"/>
        </w:rPr>
        <w:t xml:space="preserve">thay vì sử dụng </w:t>
      </w:r>
      <w:r w:rsidR="009768EB" w:rsidRPr="00865374">
        <w:rPr>
          <w:rFonts w:ascii="Times New Roman" w:hAnsi="Times New Roman" w:cs="Times New Roman"/>
          <w:color w:val="212121"/>
          <w:sz w:val="24"/>
          <w:szCs w:val="24"/>
          <w:lang w:val="vi-VN"/>
        </w:rPr>
        <w:t xml:space="preserve"> GAAP,</w:t>
      </w:r>
      <w:r w:rsidR="009768EB" w:rsidRPr="00865374">
        <w:rPr>
          <w:rFonts w:ascii="Times New Roman" w:hAnsi="Times New Roman" w:cs="Times New Roman"/>
          <w:color w:val="212121"/>
          <w:sz w:val="24"/>
          <w:szCs w:val="24"/>
        </w:rPr>
        <w:t xml:space="preserve"> tuy nhiên sự chuyển đổi này không thực sự dễ </w:t>
      </w:r>
      <w:r w:rsidR="009768EB" w:rsidRPr="00865374">
        <w:rPr>
          <w:rFonts w:ascii="Times New Roman" w:hAnsi="Times New Roman" w:cs="Times New Roman"/>
          <w:color w:val="212121"/>
          <w:sz w:val="24"/>
          <w:szCs w:val="24"/>
          <w:lang w:val="vi-VN"/>
        </w:rPr>
        <w:t xml:space="preserve"> dàng, chủ yếu là do sự khác biệt trong cách </w:t>
      </w:r>
      <w:r w:rsidR="009768EB" w:rsidRPr="00865374">
        <w:rPr>
          <w:rFonts w:ascii="Times New Roman" w:hAnsi="Times New Roman" w:cs="Times New Roman"/>
          <w:color w:val="212121"/>
          <w:sz w:val="24"/>
          <w:szCs w:val="24"/>
        </w:rPr>
        <w:t xml:space="preserve"> thức </w:t>
      </w:r>
      <w:r w:rsidR="009768EB" w:rsidRPr="00865374">
        <w:rPr>
          <w:rFonts w:ascii="Times New Roman" w:hAnsi="Times New Roman" w:cs="Times New Roman"/>
          <w:color w:val="212121"/>
          <w:sz w:val="24"/>
          <w:szCs w:val="24"/>
          <w:lang w:val="vi-VN"/>
        </w:rPr>
        <w:t>tiếp cận .</w:t>
      </w:r>
      <w:r w:rsidR="006D5AE7" w:rsidRPr="00865374">
        <w:rPr>
          <w:rFonts w:ascii="Times New Roman" w:hAnsi="Times New Roman" w:cs="Times New Roman"/>
          <w:color w:val="000000"/>
          <w:sz w:val="24"/>
          <w:szCs w:val="24"/>
        </w:rPr>
        <w:br/>
      </w:r>
      <w:r w:rsidRPr="00865374">
        <w:rPr>
          <w:rFonts w:ascii="Times New Roman" w:hAnsi="Times New Roman" w:cs="Times New Roman"/>
          <w:b/>
          <w:color w:val="212121"/>
          <w:sz w:val="24"/>
          <w:szCs w:val="24"/>
        </w:rPr>
        <w:t xml:space="preserve">1. Sự khác biệt giữa GAAP và </w:t>
      </w:r>
      <w:r w:rsidRPr="00865374">
        <w:rPr>
          <w:rFonts w:ascii="Times New Roman" w:hAnsi="Times New Roman" w:cs="Times New Roman"/>
          <w:b/>
          <w:color w:val="212121"/>
          <w:sz w:val="24"/>
          <w:szCs w:val="24"/>
          <w:lang w:val="vi-VN"/>
        </w:rPr>
        <w:t>IFRS</w:t>
      </w:r>
    </w:p>
    <w:p w:rsidR="00373E04" w:rsidRPr="00865374" w:rsidRDefault="00554C08" w:rsidP="00373E04">
      <w:pPr>
        <w:pStyle w:val="HTMLPreformatted"/>
        <w:shd w:val="clear" w:color="auto" w:fill="FFFFFF"/>
        <w:spacing w:line="360" w:lineRule="auto"/>
        <w:rPr>
          <w:rFonts w:ascii="Times New Roman" w:hAnsi="Times New Roman" w:cs="Times New Roman"/>
          <w:color w:val="212121"/>
          <w:sz w:val="24"/>
          <w:szCs w:val="24"/>
        </w:rPr>
      </w:pPr>
      <w:r w:rsidRPr="00865374">
        <w:rPr>
          <w:rFonts w:ascii="Times New Roman" w:hAnsi="Times New Roman" w:cs="Times New Roman"/>
          <w:color w:val="212121"/>
          <w:sz w:val="24"/>
          <w:szCs w:val="24"/>
        </w:rPr>
        <w:t xml:space="preserve">   </w:t>
      </w:r>
      <w:r w:rsidR="00764F69" w:rsidRPr="00865374">
        <w:rPr>
          <w:rFonts w:ascii="Times New Roman" w:hAnsi="Times New Roman" w:cs="Times New Roman"/>
          <w:color w:val="212121"/>
          <w:sz w:val="24"/>
          <w:szCs w:val="24"/>
          <w:lang w:val="vi-VN"/>
        </w:rPr>
        <w:t xml:space="preserve">GAAP là một phương pháp dựa trên quy tắc, trong khi IFRS </w:t>
      </w:r>
      <w:r w:rsidR="00764F69" w:rsidRPr="00865374">
        <w:rPr>
          <w:rFonts w:ascii="Times New Roman" w:hAnsi="Times New Roman" w:cs="Times New Roman"/>
          <w:color w:val="212121"/>
          <w:sz w:val="24"/>
          <w:szCs w:val="24"/>
        </w:rPr>
        <w:t>tạo lập nên các</w:t>
      </w:r>
      <w:r w:rsidR="00764F69" w:rsidRPr="00865374">
        <w:rPr>
          <w:rFonts w:ascii="Times New Roman" w:hAnsi="Times New Roman" w:cs="Times New Roman"/>
          <w:color w:val="212121"/>
          <w:sz w:val="24"/>
          <w:szCs w:val="24"/>
          <w:lang w:val="vi-VN"/>
        </w:rPr>
        <w:t xml:space="preserve"> nguyên tắc. Cách tiếp cận dựa trên quy tắc bao gồm một tập hợp các nguyên tắc thiết lập các tiêu chí cho mọi khả năng có thể xảy ra và cung cấp các quy tắc cần thiết cho các giao dịch được chỉ định, do đó thúc đẩy tính đồng nhất. Phương pháp dựa trên nguyên tắc đưa ra các mục tiêu chính của báo cáo tốt trong từng lĩnh vực chủ đề và sau đó cung cấp hướng dẫn, giải thích mục tiêu và liên kết nó với các ví dụ phổ biến, do đó thúc đẩy tính minh bạch</w:t>
      </w:r>
      <w:r w:rsidR="00764F69" w:rsidRPr="00865374">
        <w:rPr>
          <w:rFonts w:ascii="Times New Roman" w:hAnsi="Times New Roman" w:cs="Times New Roman"/>
          <w:color w:val="212121"/>
          <w:sz w:val="24"/>
          <w:szCs w:val="24"/>
        </w:rPr>
        <w:t xml:space="preserve"> trong quá trình lập báo cáo tài chính.</w:t>
      </w:r>
      <w:r w:rsidR="006D5AE7" w:rsidRPr="00865374">
        <w:rPr>
          <w:rFonts w:ascii="Times New Roman" w:hAnsi="Times New Roman" w:cs="Times New Roman"/>
          <w:color w:val="000000"/>
          <w:sz w:val="24"/>
          <w:szCs w:val="24"/>
        </w:rPr>
        <w:br/>
      </w:r>
      <w:r w:rsidR="00442910" w:rsidRPr="00865374">
        <w:rPr>
          <w:rFonts w:ascii="Times New Roman" w:hAnsi="Times New Roman" w:cs="Times New Roman"/>
          <w:color w:val="212121"/>
          <w:sz w:val="24"/>
          <w:szCs w:val="24"/>
          <w:lang w:val="vi-VN"/>
        </w:rPr>
        <w:t xml:space="preserve">Nếu những khác biệt về phương pháp giữa hai phương pháp này không thể giải quyết được, </w:t>
      </w:r>
      <w:r w:rsidR="00373E04" w:rsidRPr="00865374">
        <w:rPr>
          <w:rFonts w:ascii="Times New Roman" w:hAnsi="Times New Roman" w:cs="Times New Roman"/>
          <w:color w:val="212121"/>
          <w:sz w:val="24"/>
          <w:szCs w:val="24"/>
        </w:rPr>
        <w:t xml:space="preserve">thì </w:t>
      </w:r>
      <w:r w:rsidR="00442910" w:rsidRPr="00865374">
        <w:rPr>
          <w:rFonts w:ascii="Times New Roman" w:hAnsi="Times New Roman" w:cs="Times New Roman"/>
          <w:color w:val="212121"/>
          <w:sz w:val="24"/>
          <w:szCs w:val="24"/>
          <w:lang w:val="vi-VN"/>
        </w:rPr>
        <w:t xml:space="preserve"> dài quá trình biên dịch một bộ tiêu chuẩn kế toán quốc tế </w:t>
      </w:r>
      <w:r w:rsidR="00373E04" w:rsidRPr="00865374">
        <w:rPr>
          <w:rFonts w:ascii="Times New Roman" w:hAnsi="Times New Roman" w:cs="Times New Roman"/>
          <w:color w:val="212121"/>
          <w:sz w:val="24"/>
          <w:szCs w:val="24"/>
        </w:rPr>
        <w:t>sẽ làm tăng thêm các khoản chi phí và tốn thêm nhiều thời gian nếu doanh nghiệp muốn chọn lựa được một phương pháp lập và trình bày báo cáo tài chính phù hợp.</w:t>
      </w:r>
      <w:r w:rsidR="006D5AE7" w:rsidRPr="00865374">
        <w:rPr>
          <w:rFonts w:ascii="Times New Roman" w:hAnsi="Times New Roman" w:cs="Times New Roman"/>
          <w:color w:val="000000"/>
          <w:sz w:val="24"/>
          <w:szCs w:val="24"/>
        </w:rPr>
        <w:br/>
      </w:r>
      <w:r w:rsidR="00373E04" w:rsidRPr="00865374">
        <w:rPr>
          <w:rFonts w:ascii="Times New Roman" w:hAnsi="Times New Roman" w:cs="Times New Roman"/>
          <w:color w:val="000000"/>
          <w:sz w:val="24"/>
          <w:szCs w:val="24"/>
        </w:rPr>
        <w:t xml:space="preserve">2. Sự kết hợp giữa </w:t>
      </w:r>
      <w:r w:rsidR="00373E04" w:rsidRPr="00865374">
        <w:rPr>
          <w:rFonts w:ascii="Times New Roman" w:hAnsi="Times New Roman" w:cs="Times New Roman"/>
          <w:b/>
          <w:color w:val="212121"/>
          <w:sz w:val="24"/>
          <w:szCs w:val="24"/>
        </w:rPr>
        <w:t xml:space="preserve">GAAP và </w:t>
      </w:r>
      <w:r w:rsidR="00373E04" w:rsidRPr="00865374">
        <w:rPr>
          <w:rFonts w:ascii="Times New Roman" w:hAnsi="Times New Roman" w:cs="Times New Roman"/>
          <w:b/>
          <w:color w:val="212121"/>
          <w:sz w:val="24"/>
          <w:szCs w:val="24"/>
          <w:lang w:val="vi-VN"/>
        </w:rPr>
        <w:t>IFRS</w:t>
      </w:r>
      <w:r w:rsidR="006B36AF" w:rsidRPr="00865374">
        <w:rPr>
          <w:rFonts w:ascii="Times New Roman" w:hAnsi="Times New Roman" w:cs="Times New Roman"/>
          <w:b/>
          <w:color w:val="212121"/>
          <w:sz w:val="24"/>
          <w:szCs w:val="24"/>
        </w:rPr>
        <w:t xml:space="preserve"> </w:t>
      </w:r>
      <w:r w:rsidR="006D5AE7" w:rsidRPr="00865374">
        <w:rPr>
          <w:rFonts w:ascii="Times New Roman" w:hAnsi="Times New Roman" w:cs="Times New Roman"/>
          <w:color w:val="000000"/>
          <w:sz w:val="24"/>
          <w:szCs w:val="24"/>
        </w:rPr>
        <w:br/>
      </w:r>
      <w:r w:rsidR="00373E04" w:rsidRPr="00865374">
        <w:rPr>
          <w:rFonts w:ascii="Times New Roman" w:hAnsi="Times New Roman" w:cs="Times New Roman"/>
          <w:color w:val="212121"/>
          <w:sz w:val="24"/>
          <w:szCs w:val="24"/>
        </w:rPr>
        <w:t xml:space="preserve">   </w:t>
      </w:r>
      <w:r w:rsidR="00373E04" w:rsidRPr="00865374">
        <w:rPr>
          <w:rFonts w:ascii="Times New Roman" w:hAnsi="Times New Roman" w:cs="Times New Roman"/>
          <w:color w:val="212121"/>
          <w:sz w:val="24"/>
          <w:szCs w:val="24"/>
          <w:lang w:val="vi-VN"/>
        </w:rPr>
        <w:t xml:space="preserve">Một trong những mối quan tâm chính trong </w:t>
      </w:r>
      <w:r w:rsidR="006B36AF" w:rsidRPr="00865374">
        <w:rPr>
          <w:rFonts w:ascii="Times New Roman" w:hAnsi="Times New Roman" w:cs="Times New Roman"/>
          <w:color w:val="212121"/>
          <w:sz w:val="24"/>
          <w:szCs w:val="24"/>
        </w:rPr>
        <w:t xml:space="preserve"> </w:t>
      </w:r>
      <w:r w:rsidR="00373E04" w:rsidRPr="00865374">
        <w:rPr>
          <w:rFonts w:ascii="Times New Roman" w:hAnsi="Times New Roman" w:cs="Times New Roman"/>
          <w:color w:val="212121"/>
          <w:sz w:val="24"/>
          <w:szCs w:val="24"/>
          <w:lang w:val="vi-VN"/>
        </w:rPr>
        <w:t xml:space="preserve">giới kinh doanh Hoa Kỳ  làm thế nào </w:t>
      </w:r>
      <w:r w:rsidR="00373E04" w:rsidRPr="00865374">
        <w:rPr>
          <w:rFonts w:ascii="Times New Roman" w:hAnsi="Times New Roman" w:cs="Times New Roman"/>
          <w:color w:val="212121"/>
          <w:sz w:val="24"/>
          <w:szCs w:val="24"/>
        </w:rPr>
        <w:t xml:space="preserve">để </w:t>
      </w:r>
      <w:r w:rsidR="00373E04" w:rsidRPr="00865374">
        <w:rPr>
          <w:rFonts w:ascii="Times New Roman" w:hAnsi="Times New Roman" w:cs="Times New Roman"/>
          <w:color w:val="212121"/>
          <w:sz w:val="24"/>
          <w:szCs w:val="24"/>
          <w:lang w:val="vi-VN"/>
        </w:rPr>
        <w:t xml:space="preserve"> </w:t>
      </w:r>
      <w:r w:rsidR="00373E04" w:rsidRPr="00865374">
        <w:rPr>
          <w:rFonts w:ascii="Times New Roman" w:hAnsi="Times New Roman" w:cs="Times New Roman"/>
          <w:color w:val="212121"/>
          <w:sz w:val="24"/>
          <w:szCs w:val="24"/>
        </w:rPr>
        <w:t xml:space="preserve">kết hợp giữa </w:t>
      </w:r>
      <w:r w:rsidR="00373E04" w:rsidRPr="00865374">
        <w:rPr>
          <w:rFonts w:ascii="Times New Roman" w:hAnsi="Times New Roman" w:cs="Times New Roman"/>
          <w:b/>
          <w:color w:val="212121"/>
          <w:sz w:val="24"/>
          <w:szCs w:val="24"/>
        </w:rPr>
        <w:t xml:space="preserve">GAAP và </w:t>
      </w:r>
      <w:r w:rsidR="00373E04" w:rsidRPr="00865374">
        <w:rPr>
          <w:rFonts w:ascii="Times New Roman" w:hAnsi="Times New Roman" w:cs="Times New Roman"/>
          <w:b/>
          <w:color w:val="212121"/>
          <w:sz w:val="24"/>
          <w:szCs w:val="24"/>
          <w:lang w:val="vi-VN"/>
        </w:rPr>
        <w:t>IFRS</w:t>
      </w:r>
      <w:r w:rsidR="00373E04" w:rsidRPr="00865374">
        <w:rPr>
          <w:rFonts w:ascii="Times New Roman" w:hAnsi="Times New Roman" w:cs="Times New Roman"/>
          <w:b/>
          <w:color w:val="212121"/>
          <w:sz w:val="24"/>
          <w:szCs w:val="24"/>
        </w:rPr>
        <w:t xml:space="preserve"> </w:t>
      </w:r>
      <w:r w:rsidR="00373E04" w:rsidRPr="00865374">
        <w:rPr>
          <w:rFonts w:ascii="Times New Roman" w:hAnsi="Times New Roman" w:cs="Times New Roman"/>
          <w:color w:val="212121"/>
          <w:sz w:val="24"/>
          <w:szCs w:val="24"/>
          <w:lang w:val="vi-VN"/>
        </w:rPr>
        <w:t xml:space="preserve"> và kết quả của nó sẽ tác động đến sự phát triển tương lai của nghề kế toán</w:t>
      </w:r>
      <w:r w:rsidR="00373E04" w:rsidRPr="00865374">
        <w:rPr>
          <w:rFonts w:ascii="Times New Roman" w:hAnsi="Times New Roman" w:cs="Times New Roman"/>
          <w:color w:val="212121"/>
          <w:sz w:val="24"/>
          <w:szCs w:val="24"/>
        </w:rPr>
        <w:t xml:space="preserve"> như thế nào</w:t>
      </w:r>
      <w:r w:rsidR="00373E04" w:rsidRPr="00865374">
        <w:rPr>
          <w:rFonts w:ascii="Times New Roman" w:hAnsi="Times New Roman" w:cs="Times New Roman"/>
          <w:color w:val="212121"/>
          <w:sz w:val="24"/>
          <w:szCs w:val="24"/>
          <w:lang w:val="vi-VN"/>
        </w:rPr>
        <w:t>. Mối quan tâm đặc biệt này, đơn giản, nói về sự đồng nhất về tính minh bạch, và nó có tác động nghiêm trọng đến quá trình phát triển tiêu chuẩn. Các mục tiêu thống nhất và minh bạch có thể đạt được không? Chúng có tương thích hay loại trừ lẫn nhau không?</w:t>
      </w:r>
    </w:p>
    <w:p w:rsidR="00373E04" w:rsidRPr="00865374" w:rsidRDefault="006D5AE7" w:rsidP="00373E04">
      <w:pPr>
        <w:pStyle w:val="HTMLPreformatted"/>
        <w:shd w:val="clear" w:color="auto" w:fill="FFFFFF"/>
        <w:spacing w:line="360" w:lineRule="auto"/>
        <w:rPr>
          <w:rFonts w:ascii="Times New Roman" w:hAnsi="Times New Roman" w:cs="Times New Roman"/>
          <w:color w:val="212121"/>
          <w:sz w:val="24"/>
          <w:szCs w:val="24"/>
        </w:rPr>
      </w:pPr>
      <w:r w:rsidRPr="00865374">
        <w:rPr>
          <w:rFonts w:ascii="Times New Roman" w:hAnsi="Times New Roman" w:cs="Times New Roman"/>
          <w:color w:val="000000"/>
          <w:sz w:val="24"/>
          <w:szCs w:val="24"/>
        </w:rPr>
        <w:br/>
      </w:r>
      <w:r w:rsidRPr="00865374">
        <w:rPr>
          <w:rFonts w:ascii="Times New Roman" w:hAnsi="Times New Roman" w:cs="Times New Roman"/>
          <w:color w:val="000000"/>
          <w:sz w:val="24"/>
          <w:szCs w:val="24"/>
        </w:rPr>
        <w:br/>
      </w:r>
      <w:r w:rsidRPr="00865374">
        <w:rPr>
          <w:rFonts w:ascii="Times New Roman" w:hAnsi="Times New Roman" w:cs="Times New Roman"/>
          <w:color w:val="000000"/>
          <w:sz w:val="24"/>
          <w:szCs w:val="24"/>
        </w:rPr>
        <w:br/>
      </w:r>
      <w:r w:rsidRPr="00865374">
        <w:rPr>
          <w:rFonts w:ascii="Times New Roman" w:hAnsi="Times New Roman" w:cs="Times New Roman"/>
          <w:color w:val="000000"/>
          <w:sz w:val="24"/>
          <w:szCs w:val="24"/>
        </w:rPr>
        <w:br/>
      </w:r>
      <w:r w:rsidRPr="00865374">
        <w:rPr>
          <w:rFonts w:ascii="Times New Roman" w:hAnsi="Times New Roman" w:cs="Times New Roman"/>
          <w:color w:val="000000"/>
          <w:sz w:val="24"/>
          <w:szCs w:val="24"/>
        </w:rPr>
        <w:br/>
      </w:r>
      <w:r w:rsidR="009F4144" w:rsidRPr="00865374">
        <w:rPr>
          <w:rFonts w:ascii="Times New Roman" w:hAnsi="Times New Roman" w:cs="Times New Roman"/>
          <w:color w:val="212121"/>
          <w:sz w:val="24"/>
          <w:szCs w:val="24"/>
          <w:lang w:val="vi-VN"/>
        </w:rPr>
        <w:lastRenderedPageBreak/>
        <w:t xml:space="preserve">Sự không tương thích này </w:t>
      </w:r>
      <w:r w:rsidR="009F4144" w:rsidRPr="00865374">
        <w:rPr>
          <w:rFonts w:ascii="Times New Roman" w:hAnsi="Times New Roman" w:cs="Times New Roman"/>
          <w:color w:val="212121"/>
          <w:sz w:val="24"/>
          <w:szCs w:val="24"/>
        </w:rPr>
        <w:t xml:space="preserve"> </w:t>
      </w:r>
      <w:r w:rsidR="00373E04" w:rsidRPr="00865374">
        <w:rPr>
          <w:rFonts w:ascii="Times New Roman" w:hAnsi="Times New Roman" w:cs="Times New Roman"/>
          <w:color w:val="212121"/>
          <w:sz w:val="24"/>
          <w:szCs w:val="24"/>
          <w:lang w:val="vi-VN"/>
        </w:rPr>
        <w:t xml:space="preserve">được căn cứ vào các xung đột tồn tại giữa các cấu trúc dựa trên nguyên tắc và các nguyên tắc ưu tiên của các bên liên quan, được Hội đồng tiêu chuẩn kế toán tài chính (FASB) công nhận. ) và các Ban tiêu chuẩn kế toán châu Âu và châu Á, và có tác động đến phương pháp phát triển tiêu chuẩn. Tính minh bạch có ảnh hưởng trực tiếp đến các lĩnh vực kết hợp kinh doanh (Giai đoạn I và II), ghi nhận doanh thu và hiệu quả tài chính của các doanh nghiệp kinh doanh </w:t>
      </w:r>
      <w:r w:rsidR="00373E04" w:rsidRPr="00865374">
        <w:rPr>
          <w:rFonts w:ascii="Times New Roman" w:hAnsi="Times New Roman" w:cs="Times New Roman"/>
          <w:color w:val="212121"/>
          <w:sz w:val="24"/>
          <w:szCs w:val="24"/>
        </w:rPr>
        <w:t xml:space="preserve"> khi lập </w:t>
      </w:r>
      <w:r w:rsidR="00373E04" w:rsidRPr="00865374">
        <w:rPr>
          <w:rFonts w:ascii="Times New Roman" w:hAnsi="Times New Roman" w:cs="Times New Roman"/>
          <w:color w:val="212121"/>
          <w:sz w:val="24"/>
          <w:szCs w:val="24"/>
          <w:lang w:val="vi-VN"/>
        </w:rPr>
        <w:t>báo cáo.</w:t>
      </w:r>
    </w:p>
    <w:p w:rsidR="006B36AF" w:rsidRPr="00865374" w:rsidRDefault="006B36AF" w:rsidP="006B36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rPr>
      </w:pPr>
      <w:r w:rsidRPr="00865374">
        <w:rPr>
          <w:rFonts w:ascii="Times New Roman" w:eastAsia="Times New Roman" w:hAnsi="Times New Roman" w:cs="Times New Roman"/>
          <w:b/>
          <w:color w:val="212121"/>
          <w:sz w:val="24"/>
          <w:szCs w:val="24"/>
        </w:rPr>
        <w:t>Thứ nhất, n</w:t>
      </w:r>
      <w:r w:rsidRPr="00865374">
        <w:rPr>
          <w:rFonts w:ascii="Times New Roman" w:eastAsia="Times New Roman" w:hAnsi="Times New Roman" w:cs="Times New Roman"/>
          <w:b/>
          <w:color w:val="212121"/>
          <w:sz w:val="24"/>
          <w:szCs w:val="24"/>
          <w:lang w:val="vi-VN"/>
        </w:rPr>
        <w:t xml:space="preserve">hững nỗ lực </w:t>
      </w:r>
      <w:r w:rsidRPr="00865374">
        <w:rPr>
          <w:rFonts w:ascii="Times New Roman" w:eastAsia="Times New Roman" w:hAnsi="Times New Roman" w:cs="Times New Roman"/>
          <w:b/>
          <w:color w:val="212121"/>
          <w:sz w:val="24"/>
          <w:szCs w:val="24"/>
        </w:rPr>
        <w:t xml:space="preserve">kết hợp </w:t>
      </w:r>
      <w:r w:rsidRPr="00865374">
        <w:rPr>
          <w:rFonts w:ascii="Times New Roman" w:eastAsia="Times New Roman" w:hAnsi="Times New Roman" w:cs="Times New Roman"/>
          <w:b/>
          <w:color w:val="212121"/>
          <w:sz w:val="24"/>
          <w:szCs w:val="24"/>
          <w:lang w:val="vi-VN"/>
        </w:rPr>
        <w:t xml:space="preserve"> được thực hiện theo mục tiêu hội tụ tiêu chuẩn GAAP và IFRS về các kết hợp kinh doanh giai đoạn I và </w:t>
      </w:r>
      <w:r w:rsidRPr="00865374">
        <w:rPr>
          <w:rFonts w:ascii="Times New Roman" w:eastAsia="Times New Roman" w:hAnsi="Times New Roman" w:cs="Times New Roman"/>
          <w:b/>
          <w:color w:val="212121"/>
          <w:sz w:val="24"/>
          <w:szCs w:val="24"/>
        </w:rPr>
        <w:t>II  của dự án kinh doanh</w:t>
      </w:r>
      <w:r w:rsidR="006D5AE7" w:rsidRPr="00865374">
        <w:rPr>
          <w:rFonts w:ascii="Times New Roman" w:eastAsia="Times New Roman" w:hAnsi="Times New Roman" w:cs="Times New Roman"/>
          <w:color w:val="000000"/>
          <w:sz w:val="24"/>
          <w:szCs w:val="24"/>
        </w:rPr>
        <w:br/>
      </w:r>
      <w:r w:rsidRPr="00865374">
        <w:rPr>
          <w:rFonts w:ascii="Times New Roman" w:hAnsi="Times New Roman" w:cs="Times New Roman"/>
          <w:color w:val="212121"/>
          <w:sz w:val="24"/>
          <w:szCs w:val="24"/>
        </w:rPr>
        <w:t xml:space="preserve">   </w:t>
      </w:r>
      <w:r w:rsidRPr="00865374">
        <w:rPr>
          <w:rFonts w:ascii="Times New Roman" w:hAnsi="Times New Roman" w:cs="Times New Roman"/>
          <w:color w:val="212121"/>
          <w:sz w:val="24"/>
          <w:szCs w:val="24"/>
          <w:lang w:val="vi-VN"/>
        </w:rPr>
        <w:t>Mục tiêu của dự án hợp tác hai giai đoạn giữa FASB và IFRS của Mỹ là phát triển một tiêu chuẩn chất lượng cao duy nhất về kế toán kết hợp kinh doanh, đảm bảo tính đồng nhất, nhưng vẫn thúc đẩy sự minh bạch trong hoạt động sáp nhập và mua lại (M &amp; A) thị trường vốn. Các vấn đề bị loại trừ khỏi Giai đoạn I là các kết hợp kinh doanh liên quan đến hai hoặc nhiều thực thể và tổ hợp kinh doanh nơi các thực thể riêng lẻ được kết hợp với nhau như một thực thể báo cáo mà không yêu cầu quyền sở hữu.</w:t>
      </w:r>
      <w:r w:rsidR="006D5AE7" w:rsidRPr="00865374">
        <w:rPr>
          <w:rFonts w:ascii="Times New Roman" w:eastAsia="Times New Roman" w:hAnsi="Times New Roman" w:cs="Times New Roman"/>
          <w:color w:val="000000"/>
          <w:sz w:val="24"/>
          <w:szCs w:val="24"/>
        </w:rPr>
        <w:br/>
      </w:r>
      <w:r w:rsidRPr="00865374">
        <w:rPr>
          <w:rFonts w:ascii="Times New Roman" w:hAnsi="Times New Roman" w:cs="Times New Roman"/>
          <w:color w:val="212121"/>
          <w:sz w:val="24"/>
          <w:szCs w:val="24"/>
          <w:lang w:val="vi-VN"/>
        </w:rPr>
        <w:t>Giai đoạn II của dự án tập trung vào việc sửa đổi IFRS 3 (Kết hợp kinh doanh); sửa đổi một phiên bản của Chuẩn mực kế toán quốc tế 27 (IAS 27 - Báo cáo tài chính hợp nhất và riêng biệt); làm rõ và thay đổi từ ngữ, căn chỉnh GAAP với IFRS; và sửa đổi việc phát hành FASB của SFAS 141 (R) liên quan đến các kết hợp kinh doanh, và SFAS 160 về các quyền lợi không kiểm soát trong báo cáo tài chính hợp nhất. Báo cáo tiêu chuẩn kế toán tài chính 141 R (SFAS 141 R) làm giảm độ phức tạp của GAAP, cải thiện và tạo ra sự thống nhất lớn hơn trong báo cáo tài chính và kế toán kết hợp kinh doanh, mang lại lợi ích cho nhà đầu tư và người sử dụng báo cáo tài chính khác. thông tin có thể so sánh và có liên quan.</w:t>
      </w:r>
      <w:r w:rsidR="006D5AE7" w:rsidRPr="00865374">
        <w:rPr>
          <w:rFonts w:ascii="Times New Roman" w:eastAsia="Times New Roman" w:hAnsi="Times New Roman" w:cs="Times New Roman"/>
          <w:color w:val="000000"/>
          <w:sz w:val="24"/>
          <w:szCs w:val="24"/>
        </w:rPr>
        <w:br/>
      </w:r>
      <w:r w:rsidRPr="00865374">
        <w:rPr>
          <w:rFonts w:ascii="Times New Roman" w:hAnsi="Times New Roman" w:cs="Times New Roman"/>
          <w:color w:val="212121"/>
          <w:sz w:val="24"/>
          <w:szCs w:val="24"/>
          <w:lang w:val="vi-VN"/>
        </w:rPr>
        <w:t>Tiêu chuẩn mới này đạt được mục tiêu đó bằng cách yêu cầu thực thể có được trong một kết hợp kinh doanh để nhận ra tất cả</w:t>
      </w:r>
      <w:r w:rsidR="009F4144" w:rsidRPr="00865374">
        <w:rPr>
          <w:rFonts w:ascii="Times New Roman" w:hAnsi="Times New Roman" w:cs="Times New Roman"/>
          <w:color w:val="212121"/>
          <w:sz w:val="24"/>
          <w:szCs w:val="24"/>
        </w:rPr>
        <w:t xml:space="preserve"> </w:t>
      </w:r>
      <w:r w:rsidRPr="00865374">
        <w:rPr>
          <w:rFonts w:ascii="Times New Roman" w:hAnsi="Times New Roman" w:cs="Times New Roman"/>
          <w:color w:val="212121"/>
          <w:sz w:val="24"/>
          <w:szCs w:val="24"/>
          <w:lang w:val="vi-VN"/>
        </w:rPr>
        <w:t>chỉ các tài sản có được và các khoản nợ được giả định trong giao dịch. Nó cũng thiết lập giá trị hợp lý ngày mua lại là mục tiêu đo lường đối với tài sản có được và cho tất cả các khoản nợ, yêu cầu người thâu tóm tiết lộ cho tất cả các nhà đầu tư và người dùng khác tất cả thông tin cần thiết trong sự hiểu biết và đánh giá, và bản chất và ảnh hưởng tài chính của kết hợp kinh doanh.</w:t>
      </w:r>
      <w:r w:rsidR="006D5AE7" w:rsidRPr="00865374">
        <w:rPr>
          <w:rFonts w:ascii="Times New Roman" w:eastAsia="Times New Roman" w:hAnsi="Times New Roman" w:cs="Times New Roman"/>
          <w:color w:val="000000"/>
          <w:sz w:val="24"/>
          <w:szCs w:val="24"/>
        </w:rPr>
        <w:br/>
      </w:r>
      <w:r w:rsidRPr="00865374">
        <w:rPr>
          <w:rFonts w:ascii="Times New Roman" w:hAnsi="Times New Roman" w:cs="Times New Roman"/>
          <w:color w:val="212121"/>
          <w:sz w:val="24"/>
          <w:szCs w:val="24"/>
          <w:lang w:val="vi-VN"/>
        </w:rPr>
        <w:t xml:space="preserve">Nó bao gồm cả nguyên tắc cốt lõi và hướng dẫn ứng dụng thích hợp, do đó loại bỏ sự cần thiết của nhiều vấn đề về Lực lượng đặc nhiệm vấn đề mới nổi (EITF) và các hướng dẫn diễn giải khác. SFAS 160 cũng cải thiện tính liên quan, tính tương thích và tính minh bạch của thông tin </w:t>
      </w:r>
      <w:r w:rsidRPr="00865374">
        <w:rPr>
          <w:rFonts w:ascii="Times New Roman" w:hAnsi="Times New Roman" w:cs="Times New Roman"/>
          <w:color w:val="212121"/>
          <w:sz w:val="24"/>
          <w:szCs w:val="24"/>
          <w:lang w:val="vi-VN"/>
        </w:rPr>
        <w:lastRenderedPageBreak/>
        <w:t>tài chính được cung cấp cho các nhà đầu tư bằng cách yêu cầu tất cả các tổ chức báo cáo quyền lợi không thuộc quyền kiểm soát của các công ty con theo cách tương tự như trong báo cáo tài chính hợp nhất. Kết quả loại bỏ sự đa dạng trong các giao dịch kế toán giữa một thực thể và lợi ích không kiểm soát bằng cách xử lý chúng như các giao dịch vốn chủ sở hữu.</w:t>
      </w:r>
      <w:r w:rsidR="006D5AE7" w:rsidRPr="00865374">
        <w:rPr>
          <w:rFonts w:ascii="Times New Roman" w:eastAsia="Times New Roman" w:hAnsi="Times New Roman" w:cs="Times New Roman"/>
          <w:color w:val="000000"/>
          <w:sz w:val="24"/>
          <w:szCs w:val="24"/>
        </w:rPr>
        <w:br/>
      </w:r>
      <w:r w:rsidRPr="00865374">
        <w:rPr>
          <w:rFonts w:ascii="Times New Roman" w:hAnsi="Times New Roman" w:cs="Times New Roman"/>
          <w:color w:val="212121"/>
          <w:sz w:val="24"/>
          <w:szCs w:val="24"/>
        </w:rPr>
        <w:t>T</w:t>
      </w:r>
      <w:r w:rsidRPr="00865374">
        <w:rPr>
          <w:rFonts w:ascii="Times New Roman" w:hAnsi="Times New Roman" w:cs="Times New Roman"/>
          <w:color w:val="212121"/>
          <w:sz w:val="24"/>
          <w:szCs w:val="24"/>
          <w:lang w:val="vi-VN"/>
        </w:rPr>
        <w:t>ừ phía Báo cáo tài chính quốc tế, IFRS 3 và IAS 27 đã được sửa đổi và sửa đổi trong các lĩnh vực mua lại một phần, mua lại từng bước, chi phí liên quan đến mua lại, xem xét và giao dịch ngẫu nhiên với lợi ích không kiểm soát. Trong các vụ mua lại</w:t>
      </w:r>
      <w:r w:rsidR="009F4144" w:rsidRPr="00865374">
        <w:rPr>
          <w:rFonts w:ascii="Times New Roman" w:hAnsi="Times New Roman" w:cs="Times New Roman"/>
          <w:color w:val="212121"/>
          <w:sz w:val="24"/>
          <w:szCs w:val="24"/>
        </w:rPr>
        <w:t>,</w:t>
      </w:r>
      <w:r w:rsidRPr="00865374">
        <w:rPr>
          <w:rFonts w:ascii="Times New Roman" w:hAnsi="Times New Roman" w:cs="Times New Roman"/>
          <w:color w:val="212121"/>
          <w:sz w:val="24"/>
          <w:szCs w:val="24"/>
          <w:lang w:val="vi-VN"/>
        </w:rPr>
        <w:t xml:space="preserve"> một phầ</w:t>
      </w:r>
      <w:r w:rsidR="009F4144" w:rsidRPr="00865374">
        <w:rPr>
          <w:rFonts w:ascii="Times New Roman" w:hAnsi="Times New Roman" w:cs="Times New Roman"/>
          <w:color w:val="212121"/>
          <w:sz w:val="24"/>
          <w:szCs w:val="24"/>
          <w:lang w:val="vi-VN"/>
        </w:rPr>
        <w:t>n</w:t>
      </w:r>
      <w:r w:rsidRPr="00865374">
        <w:rPr>
          <w:rFonts w:ascii="Times New Roman" w:hAnsi="Times New Roman" w:cs="Times New Roman"/>
          <w:color w:val="212121"/>
          <w:sz w:val="24"/>
          <w:szCs w:val="24"/>
          <w:lang w:val="vi-VN"/>
        </w:rPr>
        <w:t xml:space="preserve"> các lợi ích không kiểm soát được đo bằng giá trị hợp lý, tuân theo yêu cầu GAAP mới hoặc về lợi ích tương ứng của chúng trong các tài sản có thể nhận dạng dựa trên yêu cầu IFRS ban đầu.</w:t>
      </w:r>
      <w:r w:rsidR="006D5AE7" w:rsidRPr="00865374">
        <w:rPr>
          <w:rFonts w:ascii="Times New Roman" w:eastAsia="Times New Roman" w:hAnsi="Times New Roman" w:cs="Times New Roman"/>
          <w:color w:val="000000"/>
          <w:sz w:val="24"/>
          <w:szCs w:val="24"/>
        </w:rPr>
        <w:br/>
      </w:r>
      <w:r w:rsidRPr="00865374">
        <w:rPr>
          <w:rFonts w:ascii="Times New Roman" w:hAnsi="Times New Roman" w:cs="Times New Roman"/>
          <w:color w:val="212121"/>
          <w:sz w:val="24"/>
          <w:szCs w:val="24"/>
        </w:rPr>
        <w:t>T</w:t>
      </w:r>
      <w:r w:rsidRPr="00865374">
        <w:rPr>
          <w:rFonts w:ascii="Times New Roman" w:hAnsi="Times New Roman" w:cs="Times New Roman"/>
          <w:color w:val="212121"/>
          <w:sz w:val="24"/>
          <w:szCs w:val="24"/>
          <w:lang w:val="vi-VN"/>
        </w:rPr>
        <w:t>rong bước mua lại, lợi thế thương mại được tính là chênh lệch tại ngày chuyển đổi giữa giá trị hợp lý của bất kỳ khoản đầu tư nào được giữ trong doanh nghiệp trước khi mua và chuyển giao xem xét và mua lại tài sản ròng, trong khi yêu cầu trước đây về đo lường mọi tài sản và trách nhiệm pháp lý ở mỗi bước của quá trình khi tính toán một phần của thiện chí đã được loại bỏ.</w:t>
      </w:r>
      <w:r w:rsidR="006D5AE7" w:rsidRPr="00865374">
        <w:rPr>
          <w:rFonts w:ascii="Times New Roman" w:eastAsia="Times New Roman" w:hAnsi="Times New Roman" w:cs="Times New Roman"/>
          <w:color w:val="000000"/>
          <w:sz w:val="24"/>
          <w:szCs w:val="24"/>
        </w:rPr>
        <w:br/>
      </w:r>
      <w:r w:rsidRPr="00865374">
        <w:rPr>
          <w:rFonts w:ascii="Times New Roman" w:hAnsi="Times New Roman" w:cs="Times New Roman"/>
          <w:color w:val="212121"/>
          <w:sz w:val="24"/>
          <w:szCs w:val="24"/>
          <w:lang w:val="vi-VN"/>
        </w:rPr>
        <w:t>Các chi phí liên quan đến chuyển đổi hiện được ghi nhận là chi phí, thay vì được đưa vào lợi thế thương mại và việc xem xét ngẫu nhiên phải được ghi nhận và đo lường theo giá trị hợp lý vào ngày mua. Đối với bất kỳ thay đổi tiếp theo nào về giá trị hợp lý, các tiêu chuẩn IFRS sẽ được áp dụng. Về các giao dịch có lợi ích không kiểm soát, không mất quyền kiểm soát sẽ do các thay đổi trong quyền sở hữu của công ty mẹ trong công ty con, vì chúng được hạch toán dưới dạng giao dịch cổ phiếu.</w:t>
      </w:r>
    </w:p>
    <w:p w:rsidR="006B36AF" w:rsidRPr="00865374" w:rsidRDefault="006B36AF" w:rsidP="006B3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12121"/>
          <w:sz w:val="24"/>
          <w:szCs w:val="24"/>
        </w:rPr>
      </w:pPr>
      <w:r w:rsidRPr="00865374">
        <w:rPr>
          <w:rFonts w:ascii="Times New Roman" w:eastAsia="Times New Roman" w:hAnsi="Times New Roman" w:cs="Times New Roman"/>
          <w:color w:val="212121"/>
          <w:sz w:val="24"/>
          <w:szCs w:val="24"/>
          <w:lang w:val="vi-VN"/>
        </w:rPr>
        <w:t>Những thay đổi mà FASB thực hiện đối với GAAP của Hoa Kỳ cơ bản hơn những thay đổi được thực hiện đối với IFRS. Một số yếu tố quan trọng nhất là: lợi ích không kiểm soát được phân loại là vốn chủ sở hữu; các thay đổi cơ cấu lại cần phải được hạch toán khi chúng được phát sinh, thay vì được dự đoán tại thời điểm kết hợp kinh doanh; trong quá trình nghiên cứu và phát triển được công nhận là tài sản vô hình riêng biệt, thay vì được viết tắt như một khoản chi phí; sự liên kết của ngày mua lại với ngày được xác định trong IFRS 3, thay vì sử dụng ngày thỏa thuận (GSSP); và thu được trên các giao dịch mua trong thu nhập được ghi nhận thay vì được phân bổ cho các tài sản cần thiết.</w:t>
      </w:r>
      <w:r w:rsidR="006D5AE7" w:rsidRPr="00865374">
        <w:rPr>
          <w:rFonts w:ascii="Times New Roman" w:eastAsia="Times New Roman" w:hAnsi="Times New Roman" w:cs="Times New Roman"/>
          <w:color w:val="000000"/>
          <w:sz w:val="24"/>
          <w:szCs w:val="24"/>
        </w:rPr>
        <w:br/>
      </w:r>
      <w:r w:rsidRPr="00865374">
        <w:rPr>
          <w:rFonts w:ascii="Times New Roman" w:hAnsi="Times New Roman" w:cs="Times New Roman"/>
          <w:b/>
          <w:color w:val="212121"/>
          <w:sz w:val="24"/>
          <w:szCs w:val="24"/>
        </w:rPr>
        <w:t>Thứ hai, sự kết hợp</w:t>
      </w:r>
      <w:r w:rsidRPr="00865374">
        <w:rPr>
          <w:rFonts w:ascii="Times New Roman" w:hAnsi="Times New Roman" w:cs="Times New Roman"/>
          <w:b/>
          <w:color w:val="212121"/>
          <w:sz w:val="24"/>
          <w:szCs w:val="24"/>
          <w:lang w:val="vi-VN"/>
        </w:rPr>
        <w:t xml:space="preserve"> được thực hiện theo mục tiêu hội tụ tiêu chuẩn GAAP và IFRS về hiệu quả tài chính của các doanh nghiệp kinh doanh.</w:t>
      </w:r>
    </w:p>
    <w:p w:rsidR="00AD14D2" w:rsidRPr="00865374" w:rsidRDefault="00554C08" w:rsidP="009676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rPr>
      </w:pPr>
      <w:r w:rsidRPr="00865374">
        <w:rPr>
          <w:rFonts w:ascii="Times New Roman" w:eastAsia="Times New Roman" w:hAnsi="Times New Roman" w:cs="Times New Roman"/>
          <w:color w:val="212121"/>
          <w:sz w:val="24"/>
          <w:szCs w:val="24"/>
        </w:rPr>
        <w:t xml:space="preserve">   </w:t>
      </w:r>
      <w:r w:rsidR="00AD14D2" w:rsidRPr="00865374">
        <w:rPr>
          <w:rFonts w:ascii="Times New Roman" w:eastAsia="Times New Roman" w:hAnsi="Times New Roman" w:cs="Times New Roman"/>
          <w:color w:val="212121"/>
          <w:sz w:val="24"/>
          <w:szCs w:val="24"/>
          <w:lang w:val="vi-VN"/>
        </w:rPr>
        <w:t xml:space="preserve">FASB đã thực hiện các bước để: xem xét ngay lập tức bất kỳ khu vực quan trọng nào của việc thiếu hụt trong báo cáo tài chính có thể được giải quyết thông qua quy trình thiết lập tiêu chuẩn; </w:t>
      </w:r>
      <w:r w:rsidR="00AD14D2" w:rsidRPr="00865374">
        <w:rPr>
          <w:rFonts w:ascii="Times New Roman" w:eastAsia="Times New Roman" w:hAnsi="Times New Roman" w:cs="Times New Roman"/>
          <w:color w:val="212121"/>
          <w:sz w:val="24"/>
          <w:szCs w:val="24"/>
          <w:lang w:val="vi-VN"/>
        </w:rPr>
        <w:lastRenderedPageBreak/>
        <w:t>thúc đẩy hội tụ quốc tế các tiêu chuẩn kế toán đồng thời với việc nâng cao chất lượng báo cáo tài chính; và cải thiện sự hiểu biết chung về tính chất và mục đích của thông tin trong các báo cáo tài chính.</w:t>
      </w:r>
      <w:r w:rsidR="006D5AE7" w:rsidRPr="00865374">
        <w:rPr>
          <w:rFonts w:ascii="Times New Roman" w:eastAsia="Times New Roman" w:hAnsi="Times New Roman" w:cs="Times New Roman"/>
          <w:color w:val="000000"/>
          <w:sz w:val="24"/>
          <w:szCs w:val="24"/>
        </w:rPr>
        <w:br/>
      </w:r>
      <w:r w:rsidR="00AD14D2" w:rsidRPr="00865374">
        <w:rPr>
          <w:rFonts w:ascii="Times New Roman" w:hAnsi="Times New Roman" w:cs="Times New Roman"/>
          <w:color w:val="212121"/>
          <w:sz w:val="24"/>
          <w:szCs w:val="24"/>
          <w:lang w:val="vi-VN"/>
        </w:rPr>
        <w:t>Giải quyết các mục tiêu tài chính của các doanh nghiệp kinh doanh, SFAS CON 1 nói rằng báo cáo tài chính sẽ cung cấp thông tin hữu ích cho các nhà đầu tư và chủ nợ hiện tại và tiềm năng, hoặc bất kỳ người dùng nào khác trong quy trình ra quyết định của họ về đầu tư và tín dụng. số tiền, thời gian và sự không chắc chắn của biên nhận tiền mặt tiềm năng hoặc dòng tiền từ cổ tức hoặc lãi nhận được, số tiền thu được từ việc bán, hoặc mua lại hoặc đáo hạn các khoản vay hoặc chứng khoán. Báo cáo phải bao gồm thông tin về tài nguyên kinh tế của công ty, tuyên bố về những tài nguyên đó và tác động của các giao dịch, sự kiện và hoàn cảnh đó tác động đến tài nguyên và mọi khiếu nại đối với họ và phải dễ hiểu đối với bất kỳ ai hiểu biết về kinh doanh và kinh tế các hoạt động và những người cần kiểm tra hoặc nghiên cứu thông tin với sự tích cực hợp lý</w:t>
      </w:r>
      <w:r w:rsidR="006D5AE7" w:rsidRPr="00865374">
        <w:rPr>
          <w:rFonts w:ascii="Times New Roman" w:eastAsia="Times New Roman" w:hAnsi="Times New Roman" w:cs="Times New Roman"/>
          <w:color w:val="000000"/>
          <w:sz w:val="24"/>
          <w:szCs w:val="24"/>
        </w:rPr>
        <w:br/>
      </w:r>
      <w:r w:rsidR="00AD14D2" w:rsidRPr="00865374">
        <w:rPr>
          <w:rFonts w:ascii="Times New Roman" w:hAnsi="Times New Roman" w:cs="Times New Roman"/>
          <w:color w:val="212121"/>
          <w:sz w:val="24"/>
          <w:szCs w:val="24"/>
          <w:lang w:val="vi-VN"/>
        </w:rPr>
        <w:t>Nghiên cứu được thực hiện bởi FASB về hiệu quả tài chính, được báo cáo bởi các doanh nghiệp kinh doanh và người dùng của họ, nhận thấy rằng người dùng có quan tâm mạnh mẽ đến một báo cáo lưu chuyển tiền tệ báo cáo các luồng tiền theo phương pháp trực tiếp. Người dùng cũng thích các báo cáo tài chính cung cấp thông tin tiết lộ lớn hơn với giá trị tiên đoán. Nghiên cứu chỉ ra rằng không có sự không hài lòng giữa các hội đồng quản trị với, hoặc nhu cầu, thay đổi sâu rộng trong cách báo cáo tài chính được hiển thị. Người dùng cũng cảm thấy rằng các biện pháp chính, thường được sử dụng thiếu rõ ràng trong định nghĩa các thuật ngữ như 'dòng tiền tự do hoạt động', 'lợi tức trên vốn đầu tư' và thu nhập được điều chỉnh, chuẩn hóa hoặc hoạt động. Mặc dù thu nhập ròng thường được sử dụng làm điểm bắt đầu để phân tích, nhưng nó không nằm trong ba biện pháp quan trọng hàng đầu được xác định bởi người dùng. Ngoài ra còn có nhu cầu thấp để trình bày thu nhập toàn diện trong một tuyên bố duy nhất; tuy nhiên, không có sự phản đối minh bạch để cung cấp các mục thu nhập toàn diện dưới dạng khác.</w:t>
      </w:r>
    </w:p>
    <w:p w:rsidR="00AD14D2" w:rsidRPr="00865374" w:rsidRDefault="00AD14D2" w:rsidP="009676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12121"/>
          <w:sz w:val="24"/>
          <w:szCs w:val="24"/>
        </w:rPr>
      </w:pPr>
      <w:r w:rsidRPr="00865374">
        <w:rPr>
          <w:rFonts w:ascii="Times New Roman" w:eastAsia="Times New Roman" w:hAnsi="Times New Roman" w:cs="Times New Roman"/>
          <w:b/>
          <w:color w:val="212121"/>
          <w:sz w:val="24"/>
          <w:szCs w:val="24"/>
        </w:rPr>
        <w:t xml:space="preserve">Thứ ba, sự kết hợp </w:t>
      </w:r>
      <w:r w:rsidRPr="00865374">
        <w:rPr>
          <w:rFonts w:ascii="Times New Roman" w:eastAsia="Times New Roman" w:hAnsi="Times New Roman" w:cs="Times New Roman"/>
          <w:b/>
          <w:color w:val="212121"/>
          <w:sz w:val="24"/>
          <w:szCs w:val="24"/>
          <w:lang w:val="vi-VN"/>
        </w:rPr>
        <w:t xml:space="preserve"> được thực hiện theo mục tiêu hội tụ tiêu chuẩn GAAP và IFRS </w:t>
      </w:r>
      <w:r w:rsidRPr="00865374">
        <w:rPr>
          <w:rFonts w:ascii="Times New Roman" w:eastAsia="Times New Roman" w:hAnsi="Times New Roman" w:cs="Times New Roman"/>
          <w:b/>
          <w:color w:val="212121"/>
          <w:sz w:val="24"/>
          <w:szCs w:val="24"/>
        </w:rPr>
        <w:t xml:space="preserve">trong việc </w:t>
      </w:r>
      <w:r w:rsidRPr="00865374">
        <w:rPr>
          <w:rFonts w:ascii="Times New Roman" w:eastAsia="Times New Roman" w:hAnsi="Times New Roman" w:cs="Times New Roman"/>
          <w:b/>
          <w:color w:val="212121"/>
          <w:sz w:val="24"/>
          <w:szCs w:val="24"/>
          <w:lang w:val="vi-VN"/>
        </w:rPr>
        <w:t xml:space="preserve"> ghi nhận doanh thu</w:t>
      </w:r>
    </w:p>
    <w:p w:rsidR="009676FD" w:rsidRPr="00865374" w:rsidRDefault="00554C08" w:rsidP="009676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rPr>
      </w:pPr>
      <w:r w:rsidRPr="00865374">
        <w:rPr>
          <w:rFonts w:ascii="Times New Roman" w:eastAsia="Times New Roman" w:hAnsi="Times New Roman" w:cs="Times New Roman"/>
          <w:color w:val="212121"/>
          <w:sz w:val="24"/>
          <w:szCs w:val="24"/>
        </w:rPr>
        <w:t xml:space="preserve">   </w:t>
      </w:r>
      <w:r w:rsidR="00AD14D2" w:rsidRPr="00865374">
        <w:rPr>
          <w:rFonts w:ascii="Times New Roman" w:eastAsia="Times New Roman" w:hAnsi="Times New Roman" w:cs="Times New Roman"/>
          <w:color w:val="212121"/>
          <w:sz w:val="24"/>
          <w:szCs w:val="24"/>
          <w:lang w:val="vi-VN"/>
        </w:rPr>
        <w:t xml:space="preserve">Các tiêu chuẩn kế toán được thiết kế cho thị trường vốn công là gánh nặng, không chỉ do tính chất phức tạp của chúng mà còn do việc áp dụng các tiêu chuẩn của IFRS. Điều này đặc biệt rõ ràng khi áp dụng cho các công ty vừa và nhỏ, vì họ tuân theo các nguyên tắc kế toán đơn giản không được thiết kế cho sự phức tạp của các giao dịch mà một số công ty nhỏ tham gia, chẳng </w:t>
      </w:r>
      <w:r w:rsidR="00AD14D2" w:rsidRPr="00865374">
        <w:rPr>
          <w:rFonts w:ascii="Times New Roman" w:eastAsia="Times New Roman" w:hAnsi="Times New Roman" w:cs="Times New Roman"/>
          <w:color w:val="212121"/>
          <w:sz w:val="24"/>
          <w:szCs w:val="24"/>
          <w:lang w:val="vi-VN"/>
        </w:rPr>
        <w:lastRenderedPageBreak/>
        <w:t>hạn như phái sinh, bảo hiểm rủi ro, hoạt động nước ngoài, kết hợp kinh doanh, nghĩa vụ lương hưu hoặc giao dịch doanh thu với nhiều lần phâ</w:t>
      </w:r>
      <w:r w:rsidR="009F4144" w:rsidRPr="00865374">
        <w:rPr>
          <w:rFonts w:ascii="Times New Roman" w:eastAsia="Times New Roman" w:hAnsi="Times New Roman" w:cs="Times New Roman"/>
          <w:color w:val="212121"/>
          <w:sz w:val="24"/>
          <w:szCs w:val="24"/>
          <w:lang w:val="vi-VN"/>
        </w:rPr>
        <w:t xml:space="preserve">n phối. Điều này đã buộc IASB </w:t>
      </w:r>
      <w:r w:rsidR="00AD14D2" w:rsidRPr="00865374">
        <w:rPr>
          <w:rFonts w:ascii="Times New Roman" w:eastAsia="Times New Roman" w:hAnsi="Times New Roman" w:cs="Times New Roman"/>
          <w:color w:val="212121"/>
          <w:sz w:val="24"/>
          <w:szCs w:val="24"/>
          <w:lang w:val="vi-VN"/>
        </w:rPr>
        <w:t>phát triển các tiêu c</w:t>
      </w:r>
      <w:r w:rsidR="009F4144" w:rsidRPr="00865374">
        <w:rPr>
          <w:rFonts w:ascii="Times New Roman" w:eastAsia="Times New Roman" w:hAnsi="Times New Roman" w:cs="Times New Roman"/>
          <w:color w:val="212121"/>
          <w:sz w:val="24"/>
          <w:szCs w:val="24"/>
          <w:lang w:val="vi-VN"/>
        </w:rPr>
        <w:t xml:space="preserve">huẩn báo cáo tài chính quốc tế </w:t>
      </w:r>
      <w:r w:rsidR="00AD14D2" w:rsidRPr="00865374">
        <w:rPr>
          <w:rFonts w:ascii="Times New Roman" w:eastAsia="Times New Roman" w:hAnsi="Times New Roman" w:cs="Times New Roman"/>
          <w:color w:val="212121"/>
          <w:sz w:val="24"/>
          <w:szCs w:val="24"/>
          <w:lang w:val="vi-VN"/>
        </w:rPr>
        <w:t xml:space="preserve"> để làm việc trên một tiêu chuẩn riêng biệt cho các thực thể </w:t>
      </w:r>
      <w:r w:rsidR="009F4144" w:rsidRPr="00865374">
        <w:rPr>
          <w:rFonts w:ascii="Times New Roman" w:eastAsia="Times New Roman" w:hAnsi="Times New Roman" w:cs="Times New Roman"/>
          <w:color w:val="212121"/>
          <w:sz w:val="24"/>
          <w:szCs w:val="24"/>
        </w:rPr>
        <w:t xml:space="preserve">kinh doanh </w:t>
      </w:r>
      <w:r w:rsidR="00AD14D2" w:rsidRPr="00865374">
        <w:rPr>
          <w:rFonts w:ascii="Times New Roman" w:eastAsia="Times New Roman" w:hAnsi="Times New Roman" w:cs="Times New Roman"/>
          <w:color w:val="212121"/>
          <w:sz w:val="24"/>
          <w:szCs w:val="24"/>
          <w:lang w:val="vi-VN"/>
        </w:rPr>
        <w:t xml:space="preserve">vừa và nhỏ. Tiêu chuẩn mới sẽ bao gồm một tập hợp các nguyên tắc kế toán đơn giản và khép kín sẽ giải quyết nhu cầu của các công ty nhỏ hơn, không niêm yết trên thị trường vốn </w:t>
      </w:r>
      <w:r w:rsidR="009F4144" w:rsidRPr="00865374">
        <w:rPr>
          <w:rFonts w:ascii="Times New Roman" w:eastAsia="Times New Roman" w:hAnsi="Times New Roman" w:cs="Times New Roman"/>
          <w:color w:val="212121"/>
          <w:sz w:val="24"/>
          <w:szCs w:val="24"/>
        </w:rPr>
        <w:t>.</w:t>
      </w:r>
      <w:r w:rsidR="006D5AE7" w:rsidRPr="00865374">
        <w:rPr>
          <w:rFonts w:ascii="Times New Roman" w:eastAsia="Times New Roman" w:hAnsi="Times New Roman" w:cs="Times New Roman"/>
          <w:color w:val="000000"/>
          <w:sz w:val="24"/>
          <w:szCs w:val="24"/>
        </w:rPr>
        <w:br/>
      </w:r>
      <w:r w:rsidR="009676FD" w:rsidRPr="00865374">
        <w:rPr>
          <w:rFonts w:ascii="Times New Roman" w:hAnsi="Times New Roman" w:cs="Times New Roman"/>
          <w:color w:val="212121"/>
          <w:sz w:val="24"/>
          <w:szCs w:val="24"/>
          <w:lang w:val="vi-VN"/>
        </w:rPr>
        <w:t>Cả FASB và IASB, đã thừa nhận sự phức tạp và phổ biến của khu vực ghi nhận doanh thu trong việc tái tài chính, đang hợp tác phát triển một tiêu chuẩn ghi nhận doanh thu duy nhất cho cả GAAP và IFRS của Hoa Kỳ, sẽ sắp xếp kế toán doanh thu giữa các ngành và chính xác bất kỳ sự mâu thuẫn hiện tại nào trong tiêu chuẩn và thực tiễn. Tiêu chuẩn mới cũng sẽ yêu cầu các doanh nghiệp tiết lộ thêm thông tin về doanh thu và đề xuất hướng dẫn để làm rõ kế toán chi phí hợp đồng.</w:t>
      </w:r>
      <w:r w:rsidR="009676FD" w:rsidRPr="00865374">
        <w:rPr>
          <w:rFonts w:ascii="Times New Roman" w:hAnsi="Times New Roman" w:cs="Times New Roman"/>
          <w:sz w:val="24"/>
          <w:szCs w:val="24"/>
        </w:rPr>
        <w:br/>
      </w:r>
      <w:r w:rsidR="009676FD" w:rsidRPr="00865374">
        <w:rPr>
          <w:rFonts w:ascii="Times New Roman" w:hAnsi="Times New Roman" w:cs="Times New Roman"/>
          <w:color w:val="212121"/>
          <w:sz w:val="24"/>
          <w:szCs w:val="24"/>
          <w:shd w:val="clear" w:color="auto" w:fill="FFFFFF"/>
        </w:rPr>
        <w:t>Nguyên tắc cốt lõi của tiêu chuẩn mới sẽ ghi nhận doanh thu khi một công ty chuyển hàng hóa và dịch vụ cho khách hàng bằng với số tiền xem xét mà công ty dự kiến ​​nhận được từ khách hàng. Một số khác biệt quan trọng nhất giữa thực tiễn hiện tại và tiêu chuẩn mới là doanh thu sẽ chỉ được ghi nhận từ chuyển giao hàng hóa hoặc dịch vụ cho khách hàng. Thay đổi đó sẽ ảnh hưởng đến một số hợp đồng dài hạn, các nhà định cư tiêu chuẩn cho biết. Ví dụ được cung cấp là việc nhận dạng doanh thu theo tỷ lệ phần trăm hoàn thành sẽ được cho phép, nhưng chỉ khi khách hàng sở hữu công việc đang thực hiện khi được xây dựng hoặc phát triển. Ngoài ra, một công ty sẽ được yêu cầu phải tính đến tất cả các hàng hóa hoặc dịch vụ riêng biệt, có thể yêu cầu nó tách riêng một hợp đồng thành các đơn vị kế toán khác với các đơn vị được xác định trong thực tế hiện hành.</w:t>
      </w:r>
      <w:r w:rsidR="009676FD" w:rsidRPr="00865374">
        <w:rPr>
          <w:rFonts w:ascii="Times New Roman" w:hAnsi="Times New Roman" w:cs="Times New Roman"/>
          <w:sz w:val="24"/>
          <w:szCs w:val="24"/>
        </w:rPr>
        <w:br/>
      </w:r>
      <w:r w:rsidR="009676FD" w:rsidRPr="00865374">
        <w:rPr>
          <w:rFonts w:ascii="Times New Roman" w:hAnsi="Times New Roman" w:cs="Times New Roman"/>
          <w:color w:val="212121"/>
          <w:sz w:val="24"/>
          <w:szCs w:val="24"/>
          <w:shd w:val="clear" w:color="auto" w:fill="FFFFFF"/>
        </w:rPr>
        <w:t>Một thay đổi khác là khả năng thu thập sẽ ảnh hưởng đến số tiền doanh thu được ghi nhận, thay vì doanh thu có được ghi nhận hay không. Ngoài ra, việc sử dụng ước tính lớn hơn sẽ được yêu cầu trong việc xác định cả số tiền phân bổ và cơ sở cho phân bổ đó, điều này sẽ phản ánh tốt hơn kinh tế của một giao dịch. Một công ty sẽ làm theo năm bước để áp dụng tiêu chuẩn ghi nhận doanh thu: xác định hợp đồng với khách hàng; xác định các nghĩa vụ thực hiện riêng biệt; xác định giá giao dịch; phân bổ giá giao dịch cho các nghĩa vụ thực hiện; và ghi nhận doanh thu khi một nghĩa vụ thực hiện được thỏa mãn.</w:t>
      </w:r>
      <w:r w:rsidR="006D5AE7" w:rsidRPr="00865374">
        <w:rPr>
          <w:rFonts w:ascii="Times New Roman" w:eastAsia="Times New Roman" w:hAnsi="Times New Roman" w:cs="Times New Roman"/>
          <w:color w:val="000000"/>
          <w:sz w:val="24"/>
          <w:szCs w:val="24"/>
        </w:rPr>
        <w:br/>
      </w:r>
      <w:r w:rsidR="009676FD" w:rsidRPr="00865374">
        <w:rPr>
          <w:rFonts w:ascii="Times New Roman" w:hAnsi="Times New Roman" w:cs="Times New Roman"/>
          <w:color w:val="212121"/>
          <w:sz w:val="24"/>
          <w:szCs w:val="24"/>
          <w:lang w:val="vi-VN"/>
        </w:rPr>
        <w:t xml:space="preserve">Tiêu chuẩn này sẽ được áp dụng cho tất cả các hợp đồng cung cấp hàng hóa hoặc dịch vụ cho khách hàng, trừ hợp đồng cho thuê, hợp đồng bảo hiểm và công cụ tài chính. Các công ty sẽ được yêu cầu theo tiêu chuẩn để tiết lộ thông tin định tính và định lượng về hợp đồng với khách </w:t>
      </w:r>
      <w:r w:rsidR="009676FD" w:rsidRPr="00865374">
        <w:rPr>
          <w:rFonts w:ascii="Times New Roman" w:hAnsi="Times New Roman" w:cs="Times New Roman"/>
          <w:color w:val="212121"/>
          <w:sz w:val="24"/>
          <w:szCs w:val="24"/>
          <w:lang w:val="vi-VN"/>
        </w:rPr>
        <w:lastRenderedPageBreak/>
        <w:t>hàng, bao gồm phân tích trưởng thành cho các hợp đồng kéo dài hơn một năm, và những phán đoán quan trọng và những thay đổi trong bản án được áp dụng trong tiêu chuẩn đề xuất cho các hợp đồng đó.</w:t>
      </w:r>
      <w:r w:rsidR="006D5AE7" w:rsidRPr="00865374">
        <w:rPr>
          <w:rFonts w:ascii="Times New Roman" w:eastAsia="Times New Roman" w:hAnsi="Times New Roman" w:cs="Times New Roman"/>
          <w:color w:val="000000"/>
          <w:sz w:val="24"/>
          <w:szCs w:val="24"/>
        </w:rPr>
        <w:br/>
      </w:r>
      <w:r w:rsidR="009676FD" w:rsidRPr="00865374">
        <w:rPr>
          <w:rFonts w:ascii="Times New Roman" w:hAnsi="Times New Roman" w:cs="Times New Roman"/>
          <w:b/>
          <w:bCs/>
          <w:color w:val="000000"/>
          <w:sz w:val="24"/>
          <w:szCs w:val="24"/>
        </w:rPr>
        <w:t>3.Kết luận</w:t>
      </w:r>
      <w:r w:rsidR="006D5AE7" w:rsidRPr="00865374">
        <w:rPr>
          <w:rFonts w:ascii="Times New Roman" w:eastAsia="Times New Roman" w:hAnsi="Times New Roman" w:cs="Times New Roman"/>
          <w:color w:val="000000"/>
          <w:sz w:val="24"/>
          <w:szCs w:val="24"/>
        </w:rPr>
        <w:br/>
      </w:r>
      <w:r w:rsidR="009676FD" w:rsidRPr="00865374">
        <w:rPr>
          <w:rFonts w:ascii="Times New Roman" w:hAnsi="Times New Roman" w:cs="Times New Roman"/>
          <w:color w:val="212121"/>
          <w:sz w:val="24"/>
          <w:szCs w:val="24"/>
        </w:rPr>
        <w:t xml:space="preserve">   </w:t>
      </w:r>
      <w:r w:rsidR="009676FD" w:rsidRPr="00865374">
        <w:rPr>
          <w:rFonts w:ascii="Times New Roman" w:hAnsi="Times New Roman" w:cs="Times New Roman"/>
          <w:color w:val="212121"/>
          <w:sz w:val="24"/>
          <w:szCs w:val="24"/>
          <w:lang w:val="vi-VN"/>
        </w:rPr>
        <w:t xml:space="preserve">Mặc dù có sự khác biệt về phương pháp luận dựa trên triết lý và văn hóa giữa GAAP và IFRS, một số bước đã được thực hiện trong quá trình hội tụ tiêu chuẩn, và đã được chứng minh thành công cho mặc dù những </w:t>
      </w:r>
      <w:r w:rsidR="00BB6A5F" w:rsidRPr="00865374">
        <w:rPr>
          <w:rFonts w:ascii="Times New Roman" w:hAnsi="Times New Roman" w:cs="Times New Roman"/>
          <w:color w:val="212121"/>
          <w:sz w:val="24"/>
          <w:szCs w:val="24"/>
        </w:rPr>
        <w:t xml:space="preserve"> vẫn có nhừng </w:t>
      </w:r>
      <w:r w:rsidR="009676FD" w:rsidRPr="00865374">
        <w:rPr>
          <w:rFonts w:ascii="Times New Roman" w:hAnsi="Times New Roman" w:cs="Times New Roman"/>
          <w:color w:val="212121"/>
          <w:sz w:val="24"/>
          <w:szCs w:val="24"/>
          <w:lang w:val="vi-VN"/>
        </w:rPr>
        <w:t xml:space="preserve">thách thức liên tục </w:t>
      </w:r>
      <w:r w:rsidR="00BB6A5F" w:rsidRPr="00865374">
        <w:rPr>
          <w:rFonts w:ascii="Times New Roman" w:hAnsi="Times New Roman" w:cs="Times New Roman"/>
          <w:color w:val="212121"/>
          <w:sz w:val="24"/>
          <w:szCs w:val="24"/>
        </w:rPr>
        <w:t>.</w:t>
      </w:r>
      <w:r w:rsidR="009676FD" w:rsidRPr="00865374">
        <w:rPr>
          <w:rFonts w:ascii="Times New Roman" w:hAnsi="Times New Roman" w:cs="Times New Roman"/>
          <w:color w:val="212121"/>
          <w:sz w:val="24"/>
          <w:szCs w:val="24"/>
          <w:lang w:val="vi-VN"/>
        </w:rPr>
        <w:t>Cả FASB và IFRS tiếp tục hợp tác phát triển mới và hội tụ các tiêu chuẩn hiện có, bao gồm cả lĩnh vực kết hợp kinh doanh, là một tính năng quan trọng và thành phần của thị trường vốn, cũng như lĩnh vực ghi nhận doanh thu và tài chính hiệu quả hoạt động của doanh nghiệp kinh doanh.</w:t>
      </w:r>
    </w:p>
    <w:p w:rsidR="00865374" w:rsidRPr="00865374" w:rsidRDefault="00865374" w:rsidP="006D5AE7">
      <w:pPr>
        <w:rPr>
          <w:rFonts w:ascii="Times New Roman" w:eastAsia="Times New Roman" w:hAnsi="Times New Roman" w:cs="Times New Roman"/>
          <w:b/>
          <w:color w:val="000000"/>
          <w:sz w:val="24"/>
          <w:szCs w:val="24"/>
        </w:rPr>
      </w:pPr>
      <w:r w:rsidRPr="00865374">
        <w:rPr>
          <w:rFonts w:ascii="Times New Roman" w:eastAsia="Times New Roman" w:hAnsi="Times New Roman" w:cs="Times New Roman"/>
          <w:b/>
          <w:color w:val="000000"/>
          <w:sz w:val="24"/>
          <w:szCs w:val="24"/>
        </w:rPr>
        <w:t>Tài liệu tham khảo:</w:t>
      </w:r>
    </w:p>
    <w:p w:rsidR="006D5AE7" w:rsidRPr="00865374" w:rsidRDefault="00865374" w:rsidP="006D5AE7">
      <w:pPr>
        <w:rPr>
          <w:rFonts w:ascii="Times New Roman" w:hAnsi="Times New Roman" w:cs="Times New Roman"/>
          <w:sz w:val="24"/>
          <w:szCs w:val="24"/>
        </w:rPr>
      </w:pPr>
      <w:r w:rsidRPr="0086537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865374">
        <w:rPr>
          <w:rFonts w:ascii="Times New Roman" w:hAnsi="Times New Roman" w:cs="Times New Roman"/>
          <w:color w:val="292E40"/>
          <w:sz w:val="24"/>
          <w:szCs w:val="24"/>
          <w:shd w:val="clear" w:color="auto" w:fill="FFFFFF"/>
        </w:rPr>
        <w:t>Dr. Nicolas Pologeorgis</w:t>
      </w:r>
      <w:r w:rsidRPr="00865374">
        <w:rPr>
          <w:rFonts w:ascii="Times New Roman" w:hAnsi="Times New Roman" w:cs="Times New Roman"/>
          <w:color w:val="292E40"/>
          <w:sz w:val="24"/>
          <w:szCs w:val="24"/>
          <w:shd w:val="clear" w:color="auto" w:fill="FFFFFF"/>
        </w:rPr>
        <w:t xml:space="preserve">, </w:t>
      </w:r>
      <w:r w:rsidRPr="00865374">
        <w:rPr>
          <w:rFonts w:ascii="Times New Roman" w:hAnsi="Times New Roman" w:cs="Times New Roman"/>
          <w:color w:val="292E40"/>
          <w:sz w:val="24"/>
          <w:szCs w:val="24"/>
          <w:shd w:val="clear" w:color="auto" w:fill="FFFFFF"/>
        </w:rPr>
        <w:t>Center for Assessment and Accreditation</w:t>
      </w:r>
      <w:r w:rsidRPr="00865374">
        <w:rPr>
          <w:rFonts w:ascii="Times New Roman" w:hAnsi="Times New Roman" w:cs="Times New Roman"/>
          <w:color w:val="292E40"/>
          <w:sz w:val="24"/>
          <w:szCs w:val="24"/>
          <w:shd w:val="clear" w:color="auto" w:fill="FFFFFF"/>
        </w:rPr>
        <w:t>,</w:t>
      </w:r>
      <w:r w:rsidRPr="00865374">
        <w:rPr>
          <w:rFonts w:ascii="Times New Roman" w:hAnsi="Times New Roman" w:cs="Times New Roman"/>
          <w:color w:val="292F40"/>
          <w:sz w:val="24"/>
          <w:szCs w:val="24"/>
          <w:shd w:val="clear" w:color="auto" w:fill="FFFFFF"/>
        </w:rPr>
        <w:t>GAAP And The IFRS Standards Convergence Efforts In 3 Substantial Areas</w:t>
      </w:r>
      <w:r w:rsidRPr="00865374">
        <w:rPr>
          <w:rFonts w:ascii="Times New Roman" w:hAnsi="Times New Roman" w:cs="Times New Roman"/>
          <w:color w:val="292F40"/>
          <w:sz w:val="24"/>
          <w:szCs w:val="24"/>
          <w:shd w:val="clear" w:color="auto" w:fill="FFFFFF"/>
        </w:rPr>
        <w:t xml:space="preserve">. </w:t>
      </w:r>
      <w:r w:rsidR="006D5AE7" w:rsidRPr="00865374">
        <w:rPr>
          <w:rFonts w:ascii="Times New Roman" w:eastAsia="Times New Roman" w:hAnsi="Times New Roman" w:cs="Times New Roman"/>
          <w:color w:val="000000"/>
          <w:sz w:val="24"/>
          <w:szCs w:val="24"/>
        </w:rPr>
        <w:br/>
      </w:r>
      <w:r w:rsidR="006D5AE7" w:rsidRPr="00865374">
        <w:rPr>
          <w:rFonts w:ascii="Times New Roman" w:eastAsia="Times New Roman" w:hAnsi="Times New Roman" w:cs="Times New Roman"/>
          <w:color w:val="000000"/>
          <w:sz w:val="24"/>
          <w:szCs w:val="24"/>
        </w:rPr>
        <w:br/>
      </w:r>
      <w:r w:rsidRPr="00865374">
        <w:rPr>
          <w:rFonts w:ascii="Times New Roman" w:hAnsi="Times New Roman" w:cs="Times New Roman"/>
          <w:sz w:val="24"/>
          <w:szCs w:val="24"/>
        </w:rPr>
        <w:t xml:space="preserve">2. </w:t>
      </w:r>
      <w:hyperlink r:id="rId5" w:history="1">
        <w:r w:rsidRPr="00865374">
          <w:rPr>
            <w:rStyle w:val="Hyperlink"/>
            <w:rFonts w:ascii="Times New Roman" w:hAnsi="Times New Roman" w:cs="Times New Roman"/>
            <w:sz w:val="24"/>
            <w:szCs w:val="24"/>
          </w:rPr>
          <w:t>https://www.investopedia.com/articles/investing/030713/gaap-and-ifrs-standards-convergence-efforts.asp</w:t>
        </w:r>
      </w:hyperlink>
      <w:r w:rsidRPr="00865374">
        <w:rPr>
          <w:rFonts w:ascii="Times New Roman" w:hAnsi="Times New Roman" w:cs="Times New Roman"/>
          <w:sz w:val="24"/>
          <w:szCs w:val="24"/>
        </w:rPr>
        <w:t>, truy cập ngày 10 tháng 9 năm 2018.</w:t>
      </w:r>
      <w:bookmarkEnd w:id="0"/>
    </w:p>
    <w:sectPr w:rsidR="006D5AE7" w:rsidRPr="00865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AE7"/>
    <w:rsid w:val="00170859"/>
    <w:rsid w:val="001B309B"/>
    <w:rsid w:val="002C031F"/>
    <w:rsid w:val="0031160E"/>
    <w:rsid w:val="00373E04"/>
    <w:rsid w:val="00442910"/>
    <w:rsid w:val="004C3B1D"/>
    <w:rsid w:val="00554C08"/>
    <w:rsid w:val="005C331D"/>
    <w:rsid w:val="00675210"/>
    <w:rsid w:val="006B36AF"/>
    <w:rsid w:val="006D5AE7"/>
    <w:rsid w:val="00764F69"/>
    <w:rsid w:val="007C62AC"/>
    <w:rsid w:val="00865374"/>
    <w:rsid w:val="009676FD"/>
    <w:rsid w:val="009768EB"/>
    <w:rsid w:val="009F4144"/>
    <w:rsid w:val="00AD14D2"/>
    <w:rsid w:val="00BB6A5F"/>
    <w:rsid w:val="00BD2250"/>
    <w:rsid w:val="00E7794C"/>
    <w:rsid w:val="00E77AAC"/>
    <w:rsid w:val="00F3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5A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y-author">
    <w:name w:val="by-author"/>
    <w:basedOn w:val="DefaultParagraphFont"/>
    <w:rsid w:val="006D5AE7"/>
  </w:style>
  <w:style w:type="character" w:customStyle="1" w:styleId="apple-converted-space">
    <w:name w:val="apple-converted-space"/>
    <w:basedOn w:val="DefaultParagraphFont"/>
    <w:rsid w:val="006D5AE7"/>
  </w:style>
  <w:style w:type="character" w:styleId="Hyperlink">
    <w:name w:val="Hyperlink"/>
    <w:basedOn w:val="DefaultParagraphFont"/>
    <w:uiPriority w:val="99"/>
    <w:unhideWhenUsed/>
    <w:rsid w:val="006D5AE7"/>
    <w:rPr>
      <w:color w:val="0000FF"/>
      <w:u w:val="single"/>
    </w:rPr>
  </w:style>
  <w:style w:type="paragraph" w:styleId="NormalWeb">
    <w:name w:val="Normal (Web)"/>
    <w:basedOn w:val="Normal"/>
    <w:uiPriority w:val="99"/>
    <w:semiHidden/>
    <w:unhideWhenUsed/>
    <w:rsid w:val="006D5A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AE7"/>
    <w:rPr>
      <w:b/>
      <w:bCs/>
    </w:rPr>
  </w:style>
  <w:style w:type="character" w:styleId="Emphasis">
    <w:name w:val="Emphasis"/>
    <w:basedOn w:val="DefaultParagraphFont"/>
    <w:uiPriority w:val="20"/>
    <w:qFormat/>
    <w:rsid w:val="006D5AE7"/>
    <w:rPr>
      <w:i/>
      <w:iCs/>
    </w:rPr>
  </w:style>
  <w:style w:type="paragraph" w:styleId="BalloonText">
    <w:name w:val="Balloon Text"/>
    <w:basedOn w:val="Normal"/>
    <w:link w:val="BalloonTextChar"/>
    <w:uiPriority w:val="99"/>
    <w:semiHidden/>
    <w:unhideWhenUsed/>
    <w:rsid w:val="006D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AE7"/>
    <w:rPr>
      <w:rFonts w:ascii="Tahoma" w:hAnsi="Tahoma" w:cs="Tahoma"/>
      <w:sz w:val="16"/>
      <w:szCs w:val="16"/>
    </w:rPr>
  </w:style>
  <w:style w:type="character" w:customStyle="1" w:styleId="Heading1Char">
    <w:name w:val="Heading 1 Char"/>
    <w:basedOn w:val="DefaultParagraphFont"/>
    <w:link w:val="Heading1"/>
    <w:uiPriority w:val="9"/>
    <w:rsid w:val="006D5AE7"/>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5C3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331D"/>
    <w:rPr>
      <w:rFonts w:ascii="Courier New" w:eastAsia="Times New Roman" w:hAnsi="Courier New" w:cs="Courier New"/>
      <w:sz w:val="20"/>
      <w:szCs w:val="20"/>
    </w:rPr>
  </w:style>
  <w:style w:type="paragraph" w:customStyle="1" w:styleId="Normal1">
    <w:name w:val="Normal1"/>
    <w:basedOn w:val="Normal"/>
    <w:rsid w:val="001B30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5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5A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y-author">
    <w:name w:val="by-author"/>
    <w:basedOn w:val="DefaultParagraphFont"/>
    <w:rsid w:val="006D5AE7"/>
  </w:style>
  <w:style w:type="character" w:customStyle="1" w:styleId="apple-converted-space">
    <w:name w:val="apple-converted-space"/>
    <w:basedOn w:val="DefaultParagraphFont"/>
    <w:rsid w:val="006D5AE7"/>
  </w:style>
  <w:style w:type="character" w:styleId="Hyperlink">
    <w:name w:val="Hyperlink"/>
    <w:basedOn w:val="DefaultParagraphFont"/>
    <w:uiPriority w:val="99"/>
    <w:unhideWhenUsed/>
    <w:rsid w:val="006D5AE7"/>
    <w:rPr>
      <w:color w:val="0000FF"/>
      <w:u w:val="single"/>
    </w:rPr>
  </w:style>
  <w:style w:type="paragraph" w:styleId="NormalWeb">
    <w:name w:val="Normal (Web)"/>
    <w:basedOn w:val="Normal"/>
    <w:uiPriority w:val="99"/>
    <w:semiHidden/>
    <w:unhideWhenUsed/>
    <w:rsid w:val="006D5A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5AE7"/>
    <w:rPr>
      <w:b/>
      <w:bCs/>
    </w:rPr>
  </w:style>
  <w:style w:type="character" w:styleId="Emphasis">
    <w:name w:val="Emphasis"/>
    <w:basedOn w:val="DefaultParagraphFont"/>
    <w:uiPriority w:val="20"/>
    <w:qFormat/>
    <w:rsid w:val="006D5AE7"/>
    <w:rPr>
      <w:i/>
      <w:iCs/>
    </w:rPr>
  </w:style>
  <w:style w:type="paragraph" w:styleId="BalloonText">
    <w:name w:val="Balloon Text"/>
    <w:basedOn w:val="Normal"/>
    <w:link w:val="BalloonTextChar"/>
    <w:uiPriority w:val="99"/>
    <w:semiHidden/>
    <w:unhideWhenUsed/>
    <w:rsid w:val="006D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AE7"/>
    <w:rPr>
      <w:rFonts w:ascii="Tahoma" w:hAnsi="Tahoma" w:cs="Tahoma"/>
      <w:sz w:val="16"/>
      <w:szCs w:val="16"/>
    </w:rPr>
  </w:style>
  <w:style w:type="character" w:customStyle="1" w:styleId="Heading1Char">
    <w:name w:val="Heading 1 Char"/>
    <w:basedOn w:val="DefaultParagraphFont"/>
    <w:link w:val="Heading1"/>
    <w:uiPriority w:val="9"/>
    <w:rsid w:val="006D5AE7"/>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5C3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C331D"/>
    <w:rPr>
      <w:rFonts w:ascii="Courier New" w:eastAsia="Times New Roman" w:hAnsi="Courier New" w:cs="Courier New"/>
      <w:sz w:val="20"/>
      <w:szCs w:val="20"/>
    </w:rPr>
  </w:style>
  <w:style w:type="paragraph" w:customStyle="1" w:styleId="Normal1">
    <w:name w:val="Normal1"/>
    <w:basedOn w:val="Normal"/>
    <w:rsid w:val="001B30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5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8830">
      <w:bodyDiv w:val="1"/>
      <w:marLeft w:val="0"/>
      <w:marRight w:val="0"/>
      <w:marTop w:val="0"/>
      <w:marBottom w:val="0"/>
      <w:divBdr>
        <w:top w:val="none" w:sz="0" w:space="0" w:color="auto"/>
        <w:left w:val="none" w:sz="0" w:space="0" w:color="auto"/>
        <w:bottom w:val="none" w:sz="0" w:space="0" w:color="auto"/>
        <w:right w:val="none" w:sz="0" w:space="0" w:color="auto"/>
      </w:divBdr>
    </w:div>
    <w:div w:id="199511525">
      <w:bodyDiv w:val="1"/>
      <w:marLeft w:val="0"/>
      <w:marRight w:val="0"/>
      <w:marTop w:val="0"/>
      <w:marBottom w:val="0"/>
      <w:divBdr>
        <w:top w:val="none" w:sz="0" w:space="0" w:color="auto"/>
        <w:left w:val="none" w:sz="0" w:space="0" w:color="auto"/>
        <w:bottom w:val="none" w:sz="0" w:space="0" w:color="auto"/>
        <w:right w:val="none" w:sz="0" w:space="0" w:color="auto"/>
      </w:divBdr>
    </w:div>
    <w:div w:id="289744433">
      <w:bodyDiv w:val="1"/>
      <w:marLeft w:val="0"/>
      <w:marRight w:val="0"/>
      <w:marTop w:val="0"/>
      <w:marBottom w:val="0"/>
      <w:divBdr>
        <w:top w:val="none" w:sz="0" w:space="0" w:color="auto"/>
        <w:left w:val="none" w:sz="0" w:space="0" w:color="auto"/>
        <w:bottom w:val="none" w:sz="0" w:space="0" w:color="auto"/>
        <w:right w:val="none" w:sz="0" w:space="0" w:color="auto"/>
      </w:divBdr>
    </w:div>
    <w:div w:id="370107226">
      <w:bodyDiv w:val="1"/>
      <w:marLeft w:val="0"/>
      <w:marRight w:val="0"/>
      <w:marTop w:val="0"/>
      <w:marBottom w:val="0"/>
      <w:divBdr>
        <w:top w:val="none" w:sz="0" w:space="0" w:color="auto"/>
        <w:left w:val="none" w:sz="0" w:space="0" w:color="auto"/>
        <w:bottom w:val="none" w:sz="0" w:space="0" w:color="auto"/>
        <w:right w:val="none" w:sz="0" w:space="0" w:color="auto"/>
      </w:divBdr>
    </w:div>
    <w:div w:id="370884809">
      <w:bodyDiv w:val="1"/>
      <w:marLeft w:val="0"/>
      <w:marRight w:val="0"/>
      <w:marTop w:val="0"/>
      <w:marBottom w:val="0"/>
      <w:divBdr>
        <w:top w:val="none" w:sz="0" w:space="0" w:color="auto"/>
        <w:left w:val="none" w:sz="0" w:space="0" w:color="auto"/>
        <w:bottom w:val="none" w:sz="0" w:space="0" w:color="auto"/>
        <w:right w:val="none" w:sz="0" w:space="0" w:color="auto"/>
      </w:divBdr>
      <w:divsChild>
        <w:div w:id="845904548">
          <w:marLeft w:val="0"/>
          <w:marRight w:val="0"/>
          <w:marTop w:val="0"/>
          <w:marBottom w:val="0"/>
          <w:divBdr>
            <w:top w:val="none" w:sz="0" w:space="0" w:color="auto"/>
            <w:left w:val="none" w:sz="0" w:space="0" w:color="auto"/>
            <w:bottom w:val="none" w:sz="0" w:space="0" w:color="auto"/>
            <w:right w:val="none" w:sz="0" w:space="0" w:color="auto"/>
          </w:divBdr>
          <w:divsChild>
            <w:div w:id="713844691">
              <w:marLeft w:val="0"/>
              <w:marRight w:val="0"/>
              <w:marTop w:val="0"/>
              <w:marBottom w:val="0"/>
              <w:divBdr>
                <w:top w:val="none" w:sz="0" w:space="0" w:color="auto"/>
                <w:left w:val="none" w:sz="0" w:space="0" w:color="auto"/>
                <w:bottom w:val="none" w:sz="0" w:space="0" w:color="auto"/>
                <w:right w:val="none" w:sz="0" w:space="0" w:color="auto"/>
              </w:divBdr>
              <w:divsChild>
                <w:div w:id="1072123086">
                  <w:marLeft w:val="0"/>
                  <w:marRight w:val="0"/>
                  <w:marTop w:val="0"/>
                  <w:marBottom w:val="0"/>
                  <w:divBdr>
                    <w:top w:val="none" w:sz="0" w:space="0" w:color="auto"/>
                    <w:left w:val="none" w:sz="0" w:space="0" w:color="auto"/>
                    <w:bottom w:val="none" w:sz="0" w:space="0" w:color="auto"/>
                    <w:right w:val="none" w:sz="0" w:space="0" w:color="auto"/>
                  </w:divBdr>
                  <w:divsChild>
                    <w:div w:id="1709064388">
                      <w:marLeft w:val="0"/>
                      <w:marRight w:val="0"/>
                      <w:marTop w:val="0"/>
                      <w:marBottom w:val="0"/>
                      <w:divBdr>
                        <w:top w:val="none" w:sz="0" w:space="0" w:color="auto"/>
                        <w:left w:val="none" w:sz="0" w:space="0" w:color="auto"/>
                        <w:bottom w:val="none" w:sz="0" w:space="0" w:color="auto"/>
                        <w:right w:val="none" w:sz="0" w:space="0" w:color="auto"/>
                      </w:divBdr>
                      <w:divsChild>
                        <w:div w:id="1572351085">
                          <w:marLeft w:val="0"/>
                          <w:marRight w:val="0"/>
                          <w:marTop w:val="0"/>
                          <w:marBottom w:val="0"/>
                          <w:divBdr>
                            <w:top w:val="none" w:sz="0" w:space="0" w:color="auto"/>
                            <w:left w:val="none" w:sz="0" w:space="0" w:color="auto"/>
                            <w:bottom w:val="none" w:sz="0" w:space="0" w:color="auto"/>
                            <w:right w:val="none" w:sz="0" w:space="0" w:color="auto"/>
                          </w:divBdr>
                        </w:div>
                      </w:divsChild>
                    </w:div>
                    <w:div w:id="452595500">
                      <w:marLeft w:val="0"/>
                      <w:marRight w:val="0"/>
                      <w:marTop w:val="0"/>
                      <w:marBottom w:val="0"/>
                      <w:divBdr>
                        <w:top w:val="none" w:sz="0" w:space="0" w:color="auto"/>
                        <w:left w:val="none" w:sz="0" w:space="0" w:color="auto"/>
                        <w:bottom w:val="none" w:sz="0" w:space="0" w:color="auto"/>
                        <w:right w:val="none" w:sz="0" w:space="0" w:color="auto"/>
                      </w:divBdr>
                      <w:divsChild>
                        <w:div w:id="1332216960">
                          <w:marLeft w:val="0"/>
                          <w:marRight w:val="0"/>
                          <w:marTop w:val="60"/>
                          <w:marBottom w:val="0"/>
                          <w:divBdr>
                            <w:top w:val="none" w:sz="0" w:space="0" w:color="auto"/>
                            <w:left w:val="none" w:sz="0" w:space="0" w:color="auto"/>
                            <w:bottom w:val="none" w:sz="0" w:space="0" w:color="auto"/>
                            <w:right w:val="none" w:sz="0" w:space="0" w:color="auto"/>
                          </w:divBdr>
                        </w:div>
                      </w:divsChild>
                    </w:div>
                    <w:div w:id="2036491433">
                      <w:marLeft w:val="0"/>
                      <w:marRight w:val="0"/>
                      <w:marTop w:val="0"/>
                      <w:marBottom w:val="0"/>
                      <w:divBdr>
                        <w:top w:val="none" w:sz="0" w:space="0" w:color="auto"/>
                        <w:left w:val="none" w:sz="0" w:space="0" w:color="auto"/>
                        <w:bottom w:val="none" w:sz="0" w:space="0" w:color="auto"/>
                        <w:right w:val="none" w:sz="0" w:space="0" w:color="auto"/>
                      </w:divBdr>
                      <w:divsChild>
                        <w:div w:id="10516119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1945563">
          <w:marLeft w:val="0"/>
          <w:marRight w:val="6000"/>
          <w:marTop w:val="0"/>
          <w:marBottom w:val="0"/>
          <w:divBdr>
            <w:top w:val="none" w:sz="0" w:space="0" w:color="auto"/>
            <w:left w:val="none" w:sz="0" w:space="0" w:color="auto"/>
            <w:bottom w:val="none" w:sz="0" w:space="0" w:color="auto"/>
            <w:right w:val="none" w:sz="0" w:space="0" w:color="auto"/>
          </w:divBdr>
          <w:divsChild>
            <w:div w:id="1941256857">
              <w:marLeft w:val="0"/>
              <w:marRight w:val="0"/>
              <w:marTop w:val="0"/>
              <w:marBottom w:val="0"/>
              <w:divBdr>
                <w:top w:val="none" w:sz="0" w:space="0" w:color="auto"/>
                <w:left w:val="none" w:sz="0" w:space="0" w:color="auto"/>
                <w:bottom w:val="none" w:sz="0" w:space="0" w:color="auto"/>
                <w:right w:val="none" w:sz="0" w:space="0" w:color="auto"/>
              </w:divBdr>
              <w:divsChild>
                <w:div w:id="557087622">
                  <w:marLeft w:val="0"/>
                  <w:marRight w:val="0"/>
                  <w:marTop w:val="0"/>
                  <w:marBottom w:val="0"/>
                  <w:divBdr>
                    <w:top w:val="none" w:sz="0" w:space="0" w:color="auto"/>
                    <w:left w:val="none" w:sz="0" w:space="0" w:color="auto"/>
                    <w:bottom w:val="none" w:sz="0" w:space="0" w:color="auto"/>
                    <w:right w:val="none" w:sz="0" w:space="0" w:color="auto"/>
                  </w:divBdr>
                  <w:divsChild>
                    <w:div w:id="288169213">
                      <w:marLeft w:val="0"/>
                      <w:marRight w:val="0"/>
                      <w:marTop w:val="0"/>
                      <w:marBottom w:val="0"/>
                      <w:divBdr>
                        <w:top w:val="none" w:sz="0" w:space="0" w:color="auto"/>
                        <w:left w:val="none" w:sz="0" w:space="0" w:color="auto"/>
                        <w:bottom w:val="none" w:sz="0" w:space="0" w:color="auto"/>
                        <w:right w:val="none" w:sz="0" w:space="0" w:color="auto"/>
                      </w:divBdr>
                      <w:divsChild>
                        <w:div w:id="1006789756">
                          <w:marLeft w:val="0"/>
                          <w:marRight w:val="0"/>
                          <w:marTop w:val="0"/>
                          <w:marBottom w:val="975"/>
                          <w:divBdr>
                            <w:top w:val="none" w:sz="0" w:space="0" w:color="auto"/>
                            <w:left w:val="none" w:sz="0" w:space="0" w:color="auto"/>
                            <w:bottom w:val="none" w:sz="0" w:space="0" w:color="auto"/>
                            <w:right w:val="none" w:sz="0" w:space="0" w:color="auto"/>
                          </w:divBdr>
                          <w:divsChild>
                            <w:div w:id="4168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82951">
      <w:bodyDiv w:val="1"/>
      <w:marLeft w:val="0"/>
      <w:marRight w:val="0"/>
      <w:marTop w:val="0"/>
      <w:marBottom w:val="0"/>
      <w:divBdr>
        <w:top w:val="none" w:sz="0" w:space="0" w:color="auto"/>
        <w:left w:val="none" w:sz="0" w:space="0" w:color="auto"/>
        <w:bottom w:val="none" w:sz="0" w:space="0" w:color="auto"/>
        <w:right w:val="none" w:sz="0" w:space="0" w:color="auto"/>
      </w:divBdr>
    </w:div>
    <w:div w:id="412360145">
      <w:bodyDiv w:val="1"/>
      <w:marLeft w:val="0"/>
      <w:marRight w:val="0"/>
      <w:marTop w:val="0"/>
      <w:marBottom w:val="0"/>
      <w:divBdr>
        <w:top w:val="none" w:sz="0" w:space="0" w:color="auto"/>
        <w:left w:val="none" w:sz="0" w:space="0" w:color="auto"/>
        <w:bottom w:val="none" w:sz="0" w:space="0" w:color="auto"/>
        <w:right w:val="none" w:sz="0" w:space="0" w:color="auto"/>
      </w:divBdr>
    </w:div>
    <w:div w:id="471751385">
      <w:bodyDiv w:val="1"/>
      <w:marLeft w:val="0"/>
      <w:marRight w:val="0"/>
      <w:marTop w:val="0"/>
      <w:marBottom w:val="0"/>
      <w:divBdr>
        <w:top w:val="none" w:sz="0" w:space="0" w:color="auto"/>
        <w:left w:val="none" w:sz="0" w:space="0" w:color="auto"/>
        <w:bottom w:val="none" w:sz="0" w:space="0" w:color="auto"/>
        <w:right w:val="none" w:sz="0" w:space="0" w:color="auto"/>
      </w:divBdr>
    </w:div>
    <w:div w:id="550462869">
      <w:bodyDiv w:val="1"/>
      <w:marLeft w:val="0"/>
      <w:marRight w:val="0"/>
      <w:marTop w:val="0"/>
      <w:marBottom w:val="0"/>
      <w:divBdr>
        <w:top w:val="none" w:sz="0" w:space="0" w:color="auto"/>
        <w:left w:val="none" w:sz="0" w:space="0" w:color="auto"/>
        <w:bottom w:val="none" w:sz="0" w:space="0" w:color="auto"/>
        <w:right w:val="none" w:sz="0" w:space="0" w:color="auto"/>
      </w:divBdr>
    </w:div>
    <w:div w:id="591548828">
      <w:bodyDiv w:val="1"/>
      <w:marLeft w:val="0"/>
      <w:marRight w:val="0"/>
      <w:marTop w:val="0"/>
      <w:marBottom w:val="0"/>
      <w:divBdr>
        <w:top w:val="none" w:sz="0" w:space="0" w:color="auto"/>
        <w:left w:val="none" w:sz="0" w:space="0" w:color="auto"/>
        <w:bottom w:val="none" w:sz="0" w:space="0" w:color="auto"/>
        <w:right w:val="none" w:sz="0" w:space="0" w:color="auto"/>
      </w:divBdr>
    </w:div>
    <w:div w:id="593628390">
      <w:bodyDiv w:val="1"/>
      <w:marLeft w:val="0"/>
      <w:marRight w:val="0"/>
      <w:marTop w:val="0"/>
      <w:marBottom w:val="0"/>
      <w:divBdr>
        <w:top w:val="none" w:sz="0" w:space="0" w:color="auto"/>
        <w:left w:val="none" w:sz="0" w:space="0" w:color="auto"/>
        <w:bottom w:val="none" w:sz="0" w:space="0" w:color="auto"/>
        <w:right w:val="none" w:sz="0" w:space="0" w:color="auto"/>
      </w:divBdr>
    </w:div>
    <w:div w:id="641496453">
      <w:bodyDiv w:val="1"/>
      <w:marLeft w:val="0"/>
      <w:marRight w:val="0"/>
      <w:marTop w:val="0"/>
      <w:marBottom w:val="0"/>
      <w:divBdr>
        <w:top w:val="none" w:sz="0" w:space="0" w:color="auto"/>
        <w:left w:val="none" w:sz="0" w:space="0" w:color="auto"/>
        <w:bottom w:val="none" w:sz="0" w:space="0" w:color="auto"/>
        <w:right w:val="none" w:sz="0" w:space="0" w:color="auto"/>
      </w:divBdr>
    </w:div>
    <w:div w:id="657654710">
      <w:bodyDiv w:val="1"/>
      <w:marLeft w:val="0"/>
      <w:marRight w:val="0"/>
      <w:marTop w:val="0"/>
      <w:marBottom w:val="0"/>
      <w:divBdr>
        <w:top w:val="none" w:sz="0" w:space="0" w:color="auto"/>
        <w:left w:val="none" w:sz="0" w:space="0" w:color="auto"/>
        <w:bottom w:val="none" w:sz="0" w:space="0" w:color="auto"/>
        <w:right w:val="none" w:sz="0" w:space="0" w:color="auto"/>
      </w:divBdr>
    </w:div>
    <w:div w:id="658114671">
      <w:bodyDiv w:val="1"/>
      <w:marLeft w:val="0"/>
      <w:marRight w:val="0"/>
      <w:marTop w:val="0"/>
      <w:marBottom w:val="0"/>
      <w:divBdr>
        <w:top w:val="none" w:sz="0" w:space="0" w:color="auto"/>
        <w:left w:val="none" w:sz="0" w:space="0" w:color="auto"/>
        <w:bottom w:val="none" w:sz="0" w:space="0" w:color="auto"/>
        <w:right w:val="none" w:sz="0" w:space="0" w:color="auto"/>
      </w:divBdr>
    </w:div>
    <w:div w:id="688607485">
      <w:bodyDiv w:val="1"/>
      <w:marLeft w:val="0"/>
      <w:marRight w:val="0"/>
      <w:marTop w:val="0"/>
      <w:marBottom w:val="0"/>
      <w:divBdr>
        <w:top w:val="none" w:sz="0" w:space="0" w:color="auto"/>
        <w:left w:val="none" w:sz="0" w:space="0" w:color="auto"/>
        <w:bottom w:val="none" w:sz="0" w:space="0" w:color="auto"/>
        <w:right w:val="none" w:sz="0" w:space="0" w:color="auto"/>
      </w:divBdr>
    </w:div>
    <w:div w:id="807287914">
      <w:bodyDiv w:val="1"/>
      <w:marLeft w:val="0"/>
      <w:marRight w:val="0"/>
      <w:marTop w:val="0"/>
      <w:marBottom w:val="0"/>
      <w:divBdr>
        <w:top w:val="none" w:sz="0" w:space="0" w:color="auto"/>
        <w:left w:val="none" w:sz="0" w:space="0" w:color="auto"/>
        <w:bottom w:val="none" w:sz="0" w:space="0" w:color="auto"/>
        <w:right w:val="none" w:sz="0" w:space="0" w:color="auto"/>
      </w:divBdr>
    </w:div>
    <w:div w:id="899174023">
      <w:bodyDiv w:val="1"/>
      <w:marLeft w:val="0"/>
      <w:marRight w:val="0"/>
      <w:marTop w:val="0"/>
      <w:marBottom w:val="0"/>
      <w:divBdr>
        <w:top w:val="none" w:sz="0" w:space="0" w:color="auto"/>
        <w:left w:val="none" w:sz="0" w:space="0" w:color="auto"/>
        <w:bottom w:val="none" w:sz="0" w:space="0" w:color="auto"/>
        <w:right w:val="none" w:sz="0" w:space="0" w:color="auto"/>
      </w:divBdr>
    </w:div>
    <w:div w:id="907349065">
      <w:bodyDiv w:val="1"/>
      <w:marLeft w:val="0"/>
      <w:marRight w:val="0"/>
      <w:marTop w:val="0"/>
      <w:marBottom w:val="0"/>
      <w:divBdr>
        <w:top w:val="none" w:sz="0" w:space="0" w:color="auto"/>
        <w:left w:val="none" w:sz="0" w:space="0" w:color="auto"/>
        <w:bottom w:val="none" w:sz="0" w:space="0" w:color="auto"/>
        <w:right w:val="none" w:sz="0" w:space="0" w:color="auto"/>
      </w:divBdr>
    </w:div>
    <w:div w:id="923299556">
      <w:bodyDiv w:val="1"/>
      <w:marLeft w:val="0"/>
      <w:marRight w:val="0"/>
      <w:marTop w:val="0"/>
      <w:marBottom w:val="0"/>
      <w:divBdr>
        <w:top w:val="none" w:sz="0" w:space="0" w:color="auto"/>
        <w:left w:val="none" w:sz="0" w:space="0" w:color="auto"/>
        <w:bottom w:val="none" w:sz="0" w:space="0" w:color="auto"/>
        <w:right w:val="none" w:sz="0" w:space="0" w:color="auto"/>
      </w:divBdr>
    </w:div>
    <w:div w:id="1096632143">
      <w:bodyDiv w:val="1"/>
      <w:marLeft w:val="0"/>
      <w:marRight w:val="0"/>
      <w:marTop w:val="0"/>
      <w:marBottom w:val="0"/>
      <w:divBdr>
        <w:top w:val="none" w:sz="0" w:space="0" w:color="auto"/>
        <w:left w:val="none" w:sz="0" w:space="0" w:color="auto"/>
        <w:bottom w:val="none" w:sz="0" w:space="0" w:color="auto"/>
        <w:right w:val="none" w:sz="0" w:space="0" w:color="auto"/>
      </w:divBdr>
    </w:div>
    <w:div w:id="1133210863">
      <w:bodyDiv w:val="1"/>
      <w:marLeft w:val="0"/>
      <w:marRight w:val="0"/>
      <w:marTop w:val="0"/>
      <w:marBottom w:val="0"/>
      <w:divBdr>
        <w:top w:val="none" w:sz="0" w:space="0" w:color="auto"/>
        <w:left w:val="none" w:sz="0" w:space="0" w:color="auto"/>
        <w:bottom w:val="none" w:sz="0" w:space="0" w:color="auto"/>
        <w:right w:val="none" w:sz="0" w:space="0" w:color="auto"/>
      </w:divBdr>
    </w:div>
    <w:div w:id="1143893342">
      <w:bodyDiv w:val="1"/>
      <w:marLeft w:val="0"/>
      <w:marRight w:val="0"/>
      <w:marTop w:val="0"/>
      <w:marBottom w:val="0"/>
      <w:divBdr>
        <w:top w:val="none" w:sz="0" w:space="0" w:color="auto"/>
        <w:left w:val="none" w:sz="0" w:space="0" w:color="auto"/>
        <w:bottom w:val="none" w:sz="0" w:space="0" w:color="auto"/>
        <w:right w:val="none" w:sz="0" w:space="0" w:color="auto"/>
      </w:divBdr>
    </w:div>
    <w:div w:id="1189562644">
      <w:bodyDiv w:val="1"/>
      <w:marLeft w:val="0"/>
      <w:marRight w:val="0"/>
      <w:marTop w:val="0"/>
      <w:marBottom w:val="0"/>
      <w:divBdr>
        <w:top w:val="none" w:sz="0" w:space="0" w:color="auto"/>
        <w:left w:val="none" w:sz="0" w:space="0" w:color="auto"/>
        <w:bottom w:val="none" w:sz="0" w:space="0" w:color="auto"/>
        <w:right w:val="none" w:sz="0" w:space="0" w:color="auto"/>
      </w:divBdr>
    </w:div>
    <w:div w:id="1270551426">
      <w:bodyDiv w:val="1"/>
      <w:marLeft w:val="0"/>
      <w:marRight w:val="0"/>
      <w:marTop w:val="0"/>
      <w:marBottom w:val="0"/>
      <w:divBdr>
        <w:top w:val="none" w:sz="0" w:space="0" w:color="auto"/>
        <w:left w:val="none" w:sz="0" w:space="0" w:color="auto"/>
        <w:bottom w:val="none" w:sz="0" w:space="0" w:color="auto"/>
        <w:right w:val="none" w:sz="0" w:space="0" w:color="auto"/>
      </w:divBdr>
    </w:div>
    <w:div w:id="1502698033">
      <w:bodyDiv w:val="1"/>
      <w:marLeft w:val="0"/>
      <w:marRight w:val="0"/>
      <w:marTop w:val="0"/>
      <w:marBottom w:val="0"/>
      <w:divBdr>
        <w:top w:val="none" w:sz="0" w:space="0" w:color="auto"/>
        <w:left w:val="none" w:sz="0" w:space="0" w:color="auto"/>
        <w:bottom w:val="none" w:sz="0" w:space="0" w:color="auto"/>
        <w:right w:val="none" w:sz="0" w:space="0" w:color="auto"/>
      </w:divBdr>
      <w:divsChild>
        <w:div w:id="1759595534">
          <w:marLeft w:val="0"/>
          <w:marRight w:val="0"/>
          <w:marTop w:val="0"/>
          <w:marBottom w:val="0"/>
          <w:divBdr>
            <w:top w:val="none" w:sz="0" w:space="0" w:color="auto"/>
            <w:left w:val="none" w:sz="0" w:space="0" w:color="auto"/>
            <w:bottom w:val="none" w:sz="0" w:space="0" w:color="auto"/>
            <w:right w:val="none" w:sz="0" w:space="0" w:color="auto"/>
          </w:divBdr>
          <w:divsChild>
            <w:div w:id="1024013859">
              <w:marLeft w:val="0"/>
              <w:marRight w:val="0"/>
              <w:marTop w:val="0"/>
              <w:marBottom w:val="0"/>
              <w:divBdr>
                <w:top w:val="none" w:sz="0" w:space="0" w:color="auto"/>
                <w:left w:val="none" w:sz="0" w:space="0" w:color="auto"/>
                <w:bottom w:val="none" w:sz="0" w:space="0" w:color="auto"/>
                <w:right w:val="none" w:sz="0" w:space="0" w:color="auto"/>
              </w:divBdr>
              <w:divsChild>
                <w:div w:id="286352533">
                  <w:marLeft w:val="0"/>
                  <w:marRight w:val="0"/>
                  <w:marTop w:val="0"/>
                  <w:marBottom w:val="0"/>
                  <w:divBdr>
                    <w:top w:val="none" w:sz="0" w:space="0" w:color="auto"/>
                    <w:left w:val="none" w:sz="0" w:space="0" w:color="auto"/>
                    <w:bottom w:val="none" w:sz="0" w:space="0" w:color="auto"/>
                    <w:right w:val="none" w:sz="0" w:space="0" w:color="auto"/>
                  </w:divBdr>
                  <w:divsChild>
                    <w:div w:id="1136098164">
                      <w:marLeft w:val="0"/>
                      <w:marRight w:val="0"/>
                      <w:marTop w:val="0"/>
                      <w:marBottom w:val="0"/>
                      <w:divBdr>
                        <w:top w:val="none" w:sz="0" w:space="0" w:color="auto"/>
                        <w:left w:val="none" w:sz="0" w:space="0" w:color="auto"/>
                        <w:bottom w:val="none" w:sz="0" w:space="0" w:color="auto"/>
                        <w:right w:val="none" w:sz="0" w:space="0" w:color="auto"/>
                      </w:divBdr>
                      <w:divsChild>
                        <w:div w:id="251008904">
                          <w:marLeft w:val="0"/>
                          <w:marRight w:val="0"/>
                          <w:marTop w:val="0"/>
                          <w:marBottom w:val="0"/>
                          <w:divBdr>
                            <w:top w:val="none" w:sz="0" w:space="0" w:color="auto"/>
                            <w:left w:val="none" w:sz="0" w:space="0" w:color="auto"/>
                            <w:bottom w:val="none" w:sz="0" w:space="0" w:color="auto"/>
                            <w:right w:val="none" w:sz="0" w:space="0" w:color="auto"/>
                          </w:divBdr>
                        </w:div>
                      </w:divsChild>
                    </w:div>
                    <w:div w:id="1319337143">
                      <w:marLeft w:val="0"/>
                      <w:marRight w:val="0"/>
                      <w:marTop w:val="0"/>
                      <w:marBottom w:val="0"/>
                      <w:divBdr>
                        <w:top w:val="none" w:sz="0" w:space="0" w:color="auto"/>
                        <w:left w:val="none" w:sz="0" w:space="0" w:color="auto"/>
                        <w:bottom w:val="none" w:sz="0" w:space="0" w:color="auto"/>
                        <w:right w:val="none" w:sz="0" w:space="0" w:color="auto"/>
                      </w:divBdr>
                      <w:divsChild>
                        <w:div w:id="421069993">
                          <w:marLeft w:val="0"/>
                          <w:marRight w:val="0"/>
                          <w:marTop w:val="60"/>
                          <w:marBottom w:val="0"/>
                          <w:divBdr>
                            <w:top w:val="none" w:sz="0" w:space="0" w:color="auto"/>
                            <w:left w:val="none" w:sz="0" w:space="0" w:color="auto"/>
                            <w:bottom w:val="none" w:sz="0" w:space="0" w:color="auto"/>
                            <w:right w:val="none" w:sz="0" w:space="0" w:color="auto"/>
                          </w:divBdr>
                        </w:div>
                      </w:divsChild>
                    </w:div>
                    <w:div w:id="1627858460">
                      <w:marLeft w:val="0"/>
                      <w:marRight w:val="0"/>
                      <w:marTop w:val="0"/>
                      <w:marBottom w:val="0"/>
                      <w:divBdr>
                        <w:top w:val="none" w:sz="0" w:space="0" w:color="auto"/>
                        <w:left w:val="none" w:sz="0" w:space="0" w:color="auto"/>
                        <w:bottom w:val="none" w:sz="0" w:space="0" w:color="auto"/>
                        <w:right w:val="none" w:sz="0" w:space="0" w:color="auto"/>
                      </w:divBdr>
                      <w:divsChild>
                        <w:div w:id="16771441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945649268">
          <w:marLeft w:val="0"/>
          <w:marRight w:val="6000"/>
          <w:marTop w:val="0"/>
          <w:marBottom w:val="0"/>
          <w:divBdr>
            <w:top w:val="none" w:sz="0" w:space="0" w:color="auto"/>
            <w:left w:val="none" w:sz="0" w:space="0" w:color="auto"/>
            <w:bottom w:val="none" w:sz="0" w:space="0" w:color="auto"/>
            <w:right w:val="none" w:sz="0" w:space="0" w:color="auto"/>
          </w:divBdr>
          <w:divsChild>
            <w:div w:id="1166282628">
              <w:marLeft w:val="0"/>
              <w:marRight w:val="0"/>
              <w:marTop w:val="0"/>
              <w:marBottom w:val="0"/>
              <w:divBdr>
                <w:top w:val="none" w:sz="0" w:space="0" w:color="auto"/>
                <w:left w:val="none" w:sz="0" w:space="0" w:color="auto"/>
                <w:bottom w:val="none" w:sz="0" w:space="0" w:color="auto"/>
                <w:right w:val="none" w:sz="0" w:space="0" w:color="auto"/>
              </w:divBdr>
              <w:divsChild>
                <w:div w:id="814223833">
                  <w:marLeft w:val="0"/>
                  <w:marRight w:val="0"/>
                  <w:marTop w:val="0"/>
                  <w:marBottom w:val="0"/>
                  <w:divBdr>
                    <w:top w:val="none" w:sz="0" w:space="0" w:color="auto"/>
                    <w:left w:val="none" w:sz="0" w:space="0" w:color="auto"/>
                    <w:bottom w:val="none" w:sz="0" w:space="0" w:color="auto"/>
                    <w:right w:val="none" w:sz="0" w:space="0" w:color="auto"/>
                  </w:divBdr>
                  <w:divsChild>
                    <w:div w:id="118112452">
                      <w:marLeft w:val="0"/>
                      <w:marRight w:val="0"/>
                      <w:marTop w:val="0"/>
                      <w:marBottom w:val="0"/>
                      <w:divBdr>
                        <w:top w:val="none" w:sz="0" w:space="0" w:color="auto"/>
                        <w:left w:val="none" w:sz="0" w:space="0" w:color="auto"/>
                        <w:bottom w:val="none" w:sz="0" w:space="0" w:color="auto"/>
                        <w:right w:val="none" w:sz="0" w:space="0" w:color="auto"/>
                      </w:divBdr>
                      <w:divsChild>
                        <w:div w:id="478881581">
                          <w:marLeft w:val="0"/>
                          <w:marRight w:val="0"/>
                          <w:marTop w:val="0"/>
                          <w:marBottom w:val="975"/>
                          <w:divBdr>
                            <w:top w:val="none" w:sz="0" w:space="0" w:color="auto"/>
                            <w:left w:val="none" w:sz="0" w:space="0" w:color="auto"/>
                            <w:bottom w:val="none" w:sz="0" w:space="0" w:color="auto"/>
                            <w:right w:val="none" w:sz="0" w:space="0" w:color="auto"/>
                          </w:divBdr>
                          <w:divsChild>
                            <w:div w:id="13698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408821">
      <w:bodyDiv w:val="1"/>
      <w:marLeft w:val="0"/>
      <w:marRight w:val="0"/>
      <w:marTop w:val="0"/>
      <w:marBottom w:val="0"/>
      <w:divBdr>
        <w:top w:val="none" w:sz="0" w:space="0" w:color="auto"/>
        <w:left w:val="none" w:sz="0" w:space="0" w:color="auto"/>
        <w:bottom w:val="none" w:sz="0" w:space="0" w:color="auto"/>
        <w:right w:val="none" w:sz="0" w:space="0" w:color="auto"/>
      </w:divBdr>
    </w:div>
    <w:div w:id="1762722975">
      <w:bodyDiv w:val="1"/>
      <w:marLeft w:val="0"/>
      <w:marRight w:val="0"/>
      <w:marTop w:val="0"/>
      <w:marBottom w:val="0"/>
      <w:divBdr>
        <w:top w:val="none" w:sz="0" w:space="0" w:color="auto"/>
        <w:left w:val="none" w:sz="0" w:space="0" w:color="auto"/>
        <w:bottom w:val="none" w:sz="0" w:space="0" w:color="auto"/>
        <w:right w:val="none" w:sz="0" w:space="0" w:color="auto"/>
      </w:divBdr>
    </w:div>
    <w:div w:id="1813672909">
      <w:bodyDiv w:val="1"/>
      <w:marLeft w:val="0"/>
      <w:marRight w:val="0"/>
      <w:marTop w:val="0"/>
      <w:marBottom w:val="0"/>
      <w:divBdr>
        <w:top w:val="none" w:sz="0" w:space="0" w:color="auto"/>
        <w:left w:val="none" w:sz="0" w:space="0" w:color="auto"/>
        <w:bottom w:val="none" w:sz="0" w:space="0" w:color="auto"/>
        <w:right w:val="none" w:sz="0" w:space="0" w:color="auto"/>
      </w:divBdr>
    </w:div>
    <w:div w:id="1814251130">
      <w:bodyDiv w:val="1"/>
      <w:marLeft w:val="0"/>
      <w:marRight w:val="0"/>
      <w:marTop w:val="0"/>
      <w:marBottom w:val="0"/>
      <w:divBdr>
        <w:top w:val="none" w:sz="0" w:space="0" w:color="auto"/>
        <w:left w:val="none" w:sz="0" w:space="0" w:color="auto"/>
        <w:bottom w:val="none" w:sz="0" w:space="0" w:color="auto"/>
        <w:right w:val="none" w:sz="0" w:space="0" w:color="auto"/>
      </w:divBdr>
    </w:div>
    <w:div w:id="1849362884">
      <w:bodyDiv w:val="1"/>
      <w:marLeft w:val="0"/>
      <w:marRight w:val="0"/>
      <w:marTop w:val="0"/>
      <w:marBottom w:val="0"/>
      <w:divBdr>
        <w:top w:val="none" w:sz="0" w:space="0" w:color="auto"/>
        <w:left w:val="none" w:sz="0" w:space="0" w:color="auto"/>
        <w:bottom w:val="none" w:sz="0" w:space="0" w:color="auto"/>
        <w:right w:val="none" w:sz="0" w:space="0" w:color="auto"/>
      </w:divBdr>
    </w:div>
    <w:div w:id="1915049208">
      <w:bodyDiv w:val="1"/>
      <w:marLeft w:val="0"/>
      <w:marRight w:val="0"/>
      <w:marTop w:val="0"/>
      <w:marBottom w:val="0"/>
      <w:divBdr>
        <w:top w:val="none" w:sz="0" w:space="0" w:color="auto"/>
        <w:left w:val="none" w:sz="0" w:space="0" w:color="auto"/>
        <w:bottom w:val="none" w:sz="0" w:space="0" w:color="auto"/>
        <w:right w:val="none" w:sz="0" w:space="0" w:color="auto"/>
      </w:divBdr>
    </w:div>
    <w:div w:id="1943873558">
      <w:bodyDiv w:val="1"/>
      <w:marLeft w:val="0"/>
      <w:marRight w:val="0"/>
      <w:marTop w:val="0"/>
      <w:marBottom w:val="0"/>
      <w:divBdr>
        <w:top w:val="none" w:sz="0" w:space="0" w:color="auto"/>
        <w:left w:val="none" w:sz="0" w:space="0" w:color="auto"/>
        <w:bottom w:val="none" w:sz="0" w:space="0" w:color="auto"/>
        <w:right w:val="none" w:sz="0" w:space="0" w:color="auto"/>
      </w:divBdr>
    </w:div>
    <w:div w:id="1980576320">
      <w:bodyDiv w:val="1"/>
      <w:marLeft w:val="0"/>
      <w:marRight w:val="0"/>
      <w:marTop w:val="0"/>
      <w:marBottom w:val="0"/>
      <w:divBdr>
        <w:top w:val="none" w:sz="0" w:space="0" w:color="auto"/>
        <w:left w:val="none" w:sz="0" w:space="0" w:color="auto"/>
        <w:bottom w:val="none" w:sz="0" w:space="0" w:color="auto"/>
        <w:right w:val="none" w:sz="0" w:space="0" w:color="auto"/>
      </w:divBdr>
    </w:div>
    <w:div w:id="1984768415">
      <w:bodyDiv w:val="1"/>
      <w:marLeft w:val="0"/>
      <w:marRight w:val="0"/>
      <w:marTop w:val="0"/>
      <w:marBottom w:val="0"/>
      <w:divBdr>
        <w:top w:val="none" w:sz="0" w:space="0" w:color="auto"/>
        <w:left w:val="none" w:sz="0" w:space="0" w:color="auto"/>
        <w:bottom w:val="none" w:sz="0" w:space="0" w:color="auto"/>
        <w:right w:val="none" w:sz="0" w:space="0" w:color="auto"/>
      </w:divBdr>
    </w:div>
    <w:div w:id="1989048830">
      <w:bodyDiv w:val="1"/>
      <w:marLeft w:val="0"/>
      <w:marRight w:val="0"/>
      <w:marTop w:val="0"/>
      <w:marBottom w:val="0"/>
      <w:divBdr>
        <w:top w:val="none" w:sz="0" w:space="0" w:color="auto"/>
        <w:left w:val="none" w:sz="0" w:space="0" w:color="auto"/>
        <w:bottom w:val="none" w:sz="0" w:space="0" w:color="auto"/>
        <w:right w:val="none" w:sz="0" w:space="0" w:color="auto"/>
      </w:divBdr>
    </w:div>
    <w:div w:id="2007396935">
      <w:bodyDiv w:val="1"/>
      <w:marLeft w:val="0"/>
      <w:marRight w:val="0"/>
      <w:marTop w:val="0"/>
      <w:marBottom w:val="0"/>
      <w:divBdr>
        <w:top w:val="none" w:sz="0" w:space="0" w:color="auto"/>
        <w:left w:val="none" w:sz="0" w:space="0" w:color="auto"/>
        <w:bottom w:val="none" w:sz="0" w:space="0" w:color="auto"/>
        <w:right w:val="none" w:sz="0" w:space="0" w:color="auto"/>
      </w:divBdr>
      <w:divsChild>
        <w:div w:id="1618877705">
          <w:marLeft w:val="-240"/>
          <w:marRight w:val="-240"/>
          <w:marTop w:val="0"/>
          <w:marBottom w:val="0"/>
          <w:divBdr>
            <w:top w:val="none" w:sz="0" w:space="0" w:color="auto"/>
            <w:left w:val="none" w:sz="0" w:space="0" w:color="auto"/>
            <w:bottom w:val="none" w:sz="0" w:space="0" w:color="auto"/>
            <w:right w:val="none" w:sz="0" w:space="0" w:color="auto"/>
          </w:divBdr>
          <w:divsChild>
            <w:div w:id="1207332511">
              <w:marLeft w:val="0"/>
              <w:marRight w:val="0"/>
              <w:marTop w:val="0"/>
              <w:marBottom w:val="0"/>
              <w:divBdr>
                <w:top w:val="none" w:sz="0" w:space="0" w:color="auto"/>
                <w:left w:val="none" w:sz="0" w:space="0" w:color="auto"/>
                <w:bottom w:val="none" w:sz="0" w:space="0" w:color="auto"/>
                <w:right w:val="none" w:sz="0" w:space="0" w:color="auto"/>
              </w:divBdr>
              <w:divsChild>
                <w:div w:id="1500390231">
                  <w:marLeft w:val="0"/>
                  <w:marRight w:val="0"/>
                  <w:marTop w:val="0"/>
                  <w:marBottom w:val="0"/>
                  <w:divBdr>
                    <w:top w:val="none" w:sz="0" w:space="0" w:color="auto"/>
                    <w:left w:val="none" w:sz="0" w:space="0" w:color="auto"/>
                    <w:bottom w:val="none" w:sz="0" w:space="0" w:color="auto"/>
                    <w:right w:val="none" w:sz="0" w:space="0" w:color="auto"/>
                  </w:divBdr>
                  <w:divsChild>
                    <w:div w:id="1836455543">
                      <w:marLeft w:val="0"/>
                      <w:marRight w:val="0"/>
                      <w:marTop w:val="0"/>
                      <w:marBottom w:val="0"/>
                      <w:divBdr>
                        <w:top w:val="none" w:sz="0" w:space="0" w:color="auto"/>
                        <w:left w:val="none" w:sz="0" w:space="0" w:color="auto"/>
                        <w:bottom w:val="none" w:sz="0" w:space="0" w:color="auto"/>
                        <w:right w:val="none" w:sz="0" w:space="0" w:color="auto"/>
                      </w:divBdr>
                      <w:divsChild>
                        <w:div w:id="1505314497">
                          <w:marLeft w:val="0"/>
                          <w:marRight w:val="0"/>
                          <w:marTop w:val="0"/>
                          <w:marBottom w:val="0"/>
                          <w:divBdr>
                            <w:top w:val="none" w:sz="0" w:space="0" w:color="auto"/>
                            <w:left w:val="none" w:sz="0" w:space="0" w:color="auto"/>
                            <w:bottom w:val="none" w:sz="0" w:space="0" w:color="auto"/>
                            <w:right w:val="none" w:sz="0" w:space="0" w:color="auto"/>
                          </w:divBdr>
                          <w:divsChild>
                            <w:div w:id="1432504064">
                              <w:marLeft w:val="0"/>
                              <w:marRight w:val="0"/>
                              <w:marTop w:val="0"/>
                              <w:marBottom w:val="0"/>
                              <w:divBdr>
                                <w:top w:val="none" w:sz="0" w:space="0" w:color="auto"/>
                                <w:left w:val="none" w:sz="0" w:space="0" w:color="auto"/>
                                <w:bottom w:val="none" w:sz="0" w:space="0" w:color="auto"/>
                                <w:right w:val="none" w:sz="0" w:space="0" w:color="auto"/>
                              </w:divBdr>
                            </w:div>
                            <w:div w:id="1572037624">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2081172225">
      <w:bodyDiv w:val="1"/>
      <w:marLeft w:val="0"/>
      <w:marRight w:val="0"/>
      <w:marTop w:val="0"/>
      <w:marBottom w:val="0"/>
      <w:divBdr>
        <w:top w:val="none" w:sz="0" w:space="0" w:color="auto"/>
        <w:left w:val="none" w:sz="0" w:space="0" w:color="auto"/>
        <w:bottom w:val="none" w:sz="0" w:space="0" w:color="auto"/>
        <w:right w:val="none" w:sz="0" w:space="0" w:color="auto"/>
      </w:divBdr>
    </w:div>
    <w:div w:id="2115203050">
      <w:bodyDiv w:val="1"/>
      <w:marLeft w:val="0"/>
      <w:marRight w:val="0"/>
      <w:marTop w:val="0"/>
      <w:marBottom w:val="0"/>
      <w:divBdr>
        <w:top w:val="none" w:sz="0" w:space="0" w:color="auto"/>
        <w:left w:val="none" w:sz="0" w:space="0" w:color="auto"/>
        <w:bottom w:val="none" w:sz="0" w:space="0" w:color="auto"/>
        <w:right w:val="none" w:sz="0" w:space="0" w:color="auto"/>
      </w:divBdr>
    </w:div>
    <w:div w:id="213038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vestopedia.com/articles/investing/030713/gaap-and-ifrs-standards-convergence-efforts.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HOAI BAO</cp:lastModifiedBy>
  <cp:revision>20</cp:revision>
  <dcterms:created xsi:type="dcterms:W3CDTF">2018-07-30T02:08:00Z</dcterms:created>
  <dcterms:modified xsi:type="dcterms:W3CDTF">2018-09-15T02:18:00Z</dcterms:modified>
</cp:coreProperties>
</file>