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5B28" w14:textId="77E57917" w:rsidR="00EA494E" w:rsidRPr="00F8157C" w:rsidRDefault="00EA494E" w:rsidP="00F8157C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val="vi-VN"/>
        </w:rPr>
      </w:pPr>
      <w:r w:rsidRPr="00F8157C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val="vi-VN"/>
        </w:rPr>
        <w:t>NHỮNG LỢI ÍCH CỦA VIỆC ĐÓNG THUẾ THU THU NHẬP CÁC NHÂN</w:t>
      </w:r>
    </w:p>
    <w:p w14:paraId="396357F9" w14:textId="546F3CD1" w:rsidR="00EA494E" w:rsidRDefault="00EA494E" w:rsidP="00EA494E">
      <w:pPr>
        <w:shd w:val="clear" w:color="auto" w:fill="FFFFFF"/>
        <w:spacing w:after="150" w:line="42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  <w:t>Ths. Ngô Thị Kiều Trang</w:t>
      </w:r>
    </w:p>
    <w:p w14:paraId="3DD345C4" w14:textId="77777777" w:rsidR="00EA494E" w:rsidRPr="00EA494E" w:rsidRDefault="00EA494E" w:rsidP="00EA494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vi-VN"/>
        </w:rPr>
      </w:pPr>
    </w:p>
    <w:p w14:paraId="1778ED7D" w14:textId="4EB459CA" w:rsidR="00EA494E" w:rsidRPr="00EA494E" w:rsidRDefault="00EA494E" w:rsidP="00EA494E">
      <w:pPr>
        <w:spacing w:before="60" w:after="60" w:line="288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bookmarkStart w:id="0" w:name="_Toc452391418"/>
      <w:bookmarkStart w:id="1" w:name="_Toc452449894"/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Thuế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thu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nhập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nhân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khoản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tiền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mà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thu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nhập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phải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trích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nộp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phần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tiền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lương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hoặc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nguồn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thu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nhập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khác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ngân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sách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nhà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nước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rất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A494E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bookmarkEnd w:id="0"/>
      <w:bookmarkEnd w:id="1"/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Đây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nghĩa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triển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vậy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?</w:t>
      </w:r>
    </w:p>
    <w:p w14:paraId="5A768F7C" w14:textId="77777777" w:rsidR="00EA494E" w:rsidRPr="00EA494E" w:rsidRDefault="00EA494E" w:rsidP="00EA494E">
      <w:pPr>
        <w:shd w:val="clear" w:color="auto" w:fill="FFFFFF"/>
        <w:spacing w:before="180" w:after="1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Công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nhận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lợi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ích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chung</w:t>
      </w:r>
      <w:proofErr w:type="spellEnd"/>
    </w:p>
    <w:p w14:paraId="116B6808" w14:textId="77777777" w:rsidR="00EA494E" w:rsidRPr="00EA494E" w:rsidRDefault="00EA494E" w:rsidP="00EA494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ít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nhầm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lẫn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rằng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TNCN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hiểu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sai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6082C888" w14:textId="77777777" w:rsidR="00EA494E" w:rsidRPr="00EA494E" w:rsidRDefault="00EA494E" w:rsidP="00EA494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xây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dựng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hạ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tầng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an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giáo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dục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y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an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ninh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trật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phòng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nói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1453EA24" w14:textId="0908CCDD" w:rsidR="00EA494E" w:rsidRDefault="00EA494E" w:rsidP="00EA494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...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hằng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hưu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hết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1081B8B9" w14:textId="77777777" w:rsidR="00F8157C" w:rsidRPr="00EA494E" w:rsidRDefault="00F8157C" w:rsidP="00F8157C">
      <w:pPr>
        <w:shd w:val="clear" w:color="auto" w:fill="FFFFFF"/>
        <w:spacing w:before="180" w:after="1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tiết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thực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hiện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công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bằng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hội</w:t>
      </w:r>
      <w:proofErr w:type="spellEnd"/>
    </w:p>
    <w:p w14:paraId="5B985BE9" w14:textId="77777777" w:rsidR="00F8157C" w:rsidRPr="00EA494E" w:rsidRDefault="00F8157C" w:rsidP="00F8157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Trong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thị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thị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chỉnh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phối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mang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rất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hai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cực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thiểu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giàu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nhanh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chóng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phận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7F0AD727" w14:textId="33D17DE8" w:rsidR="00F8157C" w:rsidRDefault="00F8157C" w:rsidP="00F8157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vậy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chênh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lệch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tầng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thiệp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TNCN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qui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TNCN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cưỡng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bên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nhằm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chỉnh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chưa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cảnh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...</w:t>
      </w:r>
    </w:p>
    <w:p w14:paraId="24BC0E4B" w14:textId="77777777" w:rsidR="00F8157C" w:rsidRPr="00EA494E" w:rsidRDefault="00F8157C" w:rsidP="00F8157C">
      <w:pPr>
        <w:shd w:val="clear" w:color="auto" w:fill="FFFFFF"/>
        <w:spacing w:before="180" w:after="1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Tăng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nguồn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cho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ngân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sách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</w:p>
    <w:p w14:paraId="5D7D26B7" w14:textId="77777777" w:rsidR="00F8157C" w:rsidRPr="00EA494E" w:rsidRDefault="00F8157C" w:rsidP="00F8157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Trong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thị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phủ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nền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mại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–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khẩu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giảm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dần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Do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càng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EA494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254321A9" w14:textId="77777777" w:rsidR="00F8157C" w:rsidRPr="00EA494E" w:rsidRDefault="00F8157C" w:rsidP="00F815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TNCN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nguồn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thu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A494E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</w:p>
    <w:p w14:paraId="794906F5" w14:textId="77777777" w:rsidR="00F8157C" w:rsidRDefault="00F8157C" w:rsidP="00F8157C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14:paraId="3764ABBD" w14:textId="1FBEE44C" w:rsidR="00F8157C" w:rsidRDefault="00F8157C" w:rsidP="00F8157C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TÀI LIỆU THAM KHẢO</w:t>
      </w:r>
    </w:p>
    <w:p w14:paraId="71CDED98" w14:textId="46F1A957" w:rsidR="005F6789" w:rsidRDefault="00F8157C" w:rsidP="00F815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4E7776">
          <w:rPr>
            <w:rStyle w:val="Hyperlink"/>
            <w:rFonts w:ascii="Times New Roman" w:hAnsi="Times New Roman" w:cs="Times New Roman"/>
            <w:sz w:val="26"/>
            <w:szCs w:val="26"/>
          </w:rPr>
          <w:t>https://www.gdt.gov.vn/wps/portal</w:t>
        </w:r>
      </w:hyperlink>
    </w:p>
    <w:p w14:paraId="77603E9F" w14:textId="6783861E" w:rsidR="00F8157C" w:rsidRDefault="00F8157C" w:rsidP="00F815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4E7776">
          <w:rPr>
            <w:rStyle w:val="Hyperlink"/>
            <w:rFonts w:ascii="Times New Roman" w:hAnsi="Times New Roman" w:cs="Times New Roman"/>
            <w:sz w:val="26"/>
            <w:szCs w:val="26"/>
          </w:rPr>
          <w:t>https://easyinvoice.vn/thue-thu-nhap-ca-nhan/</w:t>
        </w:r>
      </w:hyperlink>
    </w:p>
    <w:p w14:paraId="0F413B82" w14:textId="77777777" w:rsidR="00F8157C" w:rsidRPr="00F8157C" w:rsidRDefault="00F8157C" w:rsidP="00F8157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sectPr w:rsidR="00F8157C" w:rsidRPr="00F81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412CD"/>
    <w:multiLevelType w:val="hybridMultilevel"/>
    <w:tmpl w:val="B738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4E"/>
    <w:rsid w:val="00384AE9"/>
    <w:rsid w:val="005F6789"/>
    <w:rsid w:val="00EA494E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121F"/>
  <w15:chartTrackingRefBased/>
  <w15:docId w15:val="{6AC20384-B1B2-4962-86DB-0539EE4A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4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9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A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94E"/>
    <w:rPr>
      <w:b/>
      <w:bCs/>
    </w:rPr>
  </w:style>
  <w:style w:type="character" w:styleId="Emphasis">
    <w:name w:val="Emphasis"/>
    <w:basedOn w:val="DefaultParagraphFont"/>
    <w:uiPriority w:val="20"/>
    <w:qFormat/>
    <w:rsid w:val="00EA494E"/>
    <w:rPr>
      <w:i/>
      <w:iCs/>
    </w:rPr>
  </w:style>
  <w:style w:type="paragraph" w:styleId="ListParagraph">
    <w:name w:val="List Paragraph"/>
    <w:basedOn w:val="Normal"/>
    <w:uiPriority w:val="34"/>
    <w:qFormat/>
    <w:rsid w:val="00F815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invoice.vn/thue-thu-nhap-ca-nhan/" TargetMode="External"/><Relationship Id="rId5" Type="http://schemas.openxmlformats.org/officeDocument/2006/relationships/hyperlink" Target="https://www.gdt.gov.vn/wps/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2023-01-14T09:04:00Z</dcterms:created>
  <dcterms:modified xsi:type="dcterms:W3CDTF">2023-01-14T09:21:00Z</dcterms:modified>
</cp:coreProperties>
</file>