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6FB8" w14:textId="7E2900B7" w:rsidR="00D1080C" w:rsidRPr="00D1080C" w:rsidRDefault="00D1080C" w:rsidP="009115B5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MỘT SỐ NỘI DUNG THAY ĐỔI TRONG THÔNG TƯ 24/2024/TT-BTC HƯỚNG DẪN CHẾ ĐỘ KẾ TOÁN HÀNH CHÍNH SỰ NGHIỆP</w:t>
      </w:r>
    </w:p>
    <w:p w14:paraId="26097633" w14:textId="77777777" w:rsidR="00D1080C" w:rsidRDefault="00D1080C" w:rsidP="00D1080C">
      <w:pPr>
        <w:jc w:val="both"/>
        <w:rPr>
          <w:b/>
          <w:bCs/>
          <w:color w:val="FF0000"/>
          <w:sz w:val="30"/>
          <w:szCs w:val="30"/>
          <w:lang w:val="vi-VN"/>
        </w:rPr>
      </w:pPr>
    </w:p>
    <w:p w14:paraId="1401C7F4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Bộ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ban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24/2024/TT-BTC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sự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thay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107/2017/TT-BTC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ngày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10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tháng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10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năm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2017. </w:t>
      </w:r>
    </w:p>
    <w:p w14:paraId="0C37EF8F" w14:textId="51E9DE4B" w:rsidR="00D1080C" w:rsidRP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tư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này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hiệu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lực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kể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từ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ngày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01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tháng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01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năm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2025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áp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dụng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từ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năm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2025.</w:t>
      </w:r>
    </w:p>
    <w:p w14:paraId="04CF35CB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</w:pP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24/2024/TT-BTC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chứng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từ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danh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mục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hệ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thống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phương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;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danh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mục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mẫu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phương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lập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;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danh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mục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mẫu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phương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lập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bày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ngân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;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lưu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trữ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hồ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sự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.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nội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thay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đổi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:</w:t>
      </w:r>
    </w:p>
    <w:p w14:paraId="554A8A6E" w14:textId="46B40FCE" w:rsidR="00D1080C" w:rsidRP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1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.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chứng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từ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Bỏ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ban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mẫu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chứng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từ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bắt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buộc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chủ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phù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cảnh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áp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dụng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nghệ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tin. </w:t>
      </w:r>
    </w:p>
    <w:p w14:paraId="165F1DFA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2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 V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sắp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xếp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lại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hệ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thống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107/2017/TT-BTC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nhằm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ánh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đúng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vụ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tại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mắc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ánh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cập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nhật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thuận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thêm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sau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ban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107/2017/TT-BTC. Theo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bao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gồm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135, 142, 341, 342, 518, 641, 812;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sắp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xếp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lại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cũ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121, 137, 141, 241, 338, 353, 411, 431, 531, 611, 612,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ngoài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đồng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thời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bỏ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337, 366, 468. </w:t>
      </w:r>
    </w:p>
    <w:p w14:paraId="659D6D34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ánh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vụ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TK 143, 229, 352. </w:t>
      </w:r>
    </w:p>
    <w:p w14:paraId="5C89EAF0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ánh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vụ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đến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lý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dự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trữ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quốc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gia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gồm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145, 151, 157, 158, 345, 351. </w:t>
      </w:r>
    </w:p>
    <w:p w14:paraId="299A8DBE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nguyên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tắc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đặc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biệt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nguyên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tắc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ghi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nhận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chi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thống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bày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đủ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năm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sở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Chuẩn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Nam.</w:t>
      </w:r>
    </w:p>
    <w:p w14:paraId="24FB695A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Khắc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phục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tồn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tại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nhận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dõi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nguồn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mua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sắm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TSCĐ,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tồn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nguồn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cải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tiền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lương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</w:p>
    <w:p w14:paraId="45FC7FA6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rõ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hệ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phải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phải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nội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bộ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dự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1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sở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chiếu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cung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tin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BCTC. </w:t>
      </w:r>
    </w:p>
    <w:p w14:paraId="44A5C6F7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đến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nhận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quyền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chi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tượng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 </w:t>
      </w:r>
    </w:p>
    <w:p w14:paraId="2ED4FBBD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mua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sắm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TSCĐ,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vật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nguyên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dự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trữ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ngoài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mua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sắm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tập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trung</w:t>
      </w:r>
      <w:proofErr w:type="spellEnd"/>
    </w:p>
    <w:p w14:paraId="7DC8CE4A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dự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phòng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;</w:t>
      </w:r>
    </w:p>
    <w:p w14:paraId="305D0D93" w14:textId="77777777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chi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xây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dựng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chờ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phê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duyệt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bày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BCTC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xác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đủ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;</w:t>
      </w:r>
    </w:p>
    <w:p w14:paraId="2C770F18" w14:textId="38DDCF0E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Sửa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đổi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nội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đến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nghiệp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vụ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hoạt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;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ghi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nhận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doanh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chi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quỹ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phù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;</w:t>
      </w:r>
    </w:p>
    <w:p w14:paraId="507574D2" w14:textId="77777777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3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.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tượng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: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rõ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chức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bộ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máy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gồm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phụ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thuộc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đầu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chi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tiêu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.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sở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xác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hệ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hành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lập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mở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khoản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 </w:t>
      </w:r>
    </w:p>
    <w:p w14:paraId="455E2A1E" w14:textId="56D8A66D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4.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:</w:t>
      </w:r>
      <w:r w:rsidR="009115B5"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 xml:space="preserve"> Chỉ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danh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mục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nguyên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tắc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lập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nội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dung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thiểu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cần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phải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mẫu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biểu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chủ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thiết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mẫu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phù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hoạt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;</w:t>
      </w:r>
    </w:p>
    <w:p w14:paraId="2CFDA650" w14:textId="77777777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lastRenderedPageBreak/>
        <w:t>5.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: </w:t>
      </w:r>
    </w:p>
    <w:p w14:paraId="5A802778" w14:textId="386F9D98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thêm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chỉ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tiêu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nghị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chức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năng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quan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đủ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tin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.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Đồng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thời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rõ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lập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trường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thuộc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ngân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nhận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hỗ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từ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ngân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dưới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thuộc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ngân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dưới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ngân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cấp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quyền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đủ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tổng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ngân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14:paraId="0C5B6051" w14:textId="77777777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6.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</w:p>
    <w:p w14:paraId="3685C5DF" w14:textId="77777777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rõ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trường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được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điều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chỉnh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hồi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dư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đầu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năm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trước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bày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BCTC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thống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lượng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tin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cậy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tin,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14:paraId="5FC104C9" w14:textId="6C5290B1" w:rsid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Chuẩn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hóa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mẫu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biểu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BCTC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sở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Chuẩn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Nam,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khắc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phục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một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nhược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điểm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bày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hoạt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động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thuyết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đầy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đủ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tin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năm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trên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BCTC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sự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minh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bạch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chính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.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Bỏ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mẫu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lưu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chuyển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tiền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tệ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phương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gián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tiếp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thống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có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khả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năng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hợp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từ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này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14:paraId="60CB10FF" w14:textId="77777777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7.</w:t>
      </w: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lưu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trữ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hồ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dụng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phần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mềm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</w:p>
    <w:p w14:paraId="069A6B77" w14:textId="77777777" w:rsidR="009115B5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hướng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dẫn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lưu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trữ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hồ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tài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dụng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phần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mềm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thống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nhất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trong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quá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trình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thực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hiện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theo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đúng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của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pháp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luật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14:paraId="758AA797" w14:textId="6B6B1891" w:rsidR="00D1080C" w:rsidRPr="00D1080C" w:rsidRDefault="00D1080C" w:rsidP="009115B5">
      <w:pPr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-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Bổ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sung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quy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định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về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việc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sử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dụng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phần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mềm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yêu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cầu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đối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với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phần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mềm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tại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vị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để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đảm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bảo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chất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lượng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công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kế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toán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và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số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liệu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các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báo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proofErr w:type="spellStart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cáo</w:t>
      </w:r>
      <w:proofErr w:type="spellEnd"/>
      <w:r w:rsidRPr="00D1080C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14:paraId="3957894C" w14:textId="77777777" w:rsidR="009115B5" w:rsidRPr="00967E10" w:rsidRDefault="009115B5" w:rsidP="009115B5">
      <w:pPr>
        <w:spacing w:line="360" w:lineRule="auto"/>
        <w:ind w:left="6480" w:firstLine="720"/>
        <w:jc w:val="center"/>
        <w:rPr>
          <w:b/>
          <w:bCs/>
          <w:sz w:val="26"/>
          <w:szCs w:val="26"/>
          <w:lang w:val="vi-VN"/>
        </w:rPr>
      </w:pPr>
      <w:r w:rsidRPr="00967E10">
        <w:rPr>
          <w:b/>
          <w:bCs/>
          <w:sz w:val="26"/>
          <w:szCs w:val="26"/>
          <w:lang w:val="vi-VN"/>
        </w:rPr>
        <w:t>GV</w:t>
      </w:r>
    </w:p>
    <w:p w14:paraId="6E3AEDFE" w14:textId="77777777" w:rsidR="009115B5" w:rsidRPr="00967E10" w:rsidRDefault="009115B5" w:rsidP="009115B5">
      <w:pPr>
        <w:spacing w:line="360" w:lineRule="auto"/>
        <w:jc w:val="right"/>
        <w:rPr>
          <w:i/>
          <w:iCs/>
          <w:sz w:val="26"/>
          <w:szCs w:val="26"/>
          <w:lang w:val="vi-VN"/>
        </w:rPr>
      </w:pPr>
      <w:r w:rsidRPr="00967E10">
        <w:rPr>
          <w:i/>
          <w:iCs/>
          <w:sz w:val="26"/>
          <w:szCs w:val="26"/>
          <w:lang w:val="vi-VN"/>
        </w:rPr>
        <w:t>Nguyễn Thị Đoan Trang</w:t>
      </w:r>
    </w:p>
    <w:p w14:paraId="6FCD71F0" w14:textId="77777777" w:rsidR="00D1080C" w:rsidRPr="00D1080C" w:rsidRDefault="00D1080C" w:rsidP="00D1080C">
      <w:pPr>
        <w:jc w:val="both"/>
      </w:pPr>
    </w:p>
    <w:sectPr w:rsidR="00D1080C" w:rsidRPr="00D108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0C"/>
    <w:rsid w:val="009115B5"/>
    <w:rsid w:val="00D1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919A1"/>
  <w15:chartTrackingRefBased/>
  <w15:docId w15:val="{DEC678EC-D54C-4047-A21B-71EC7AC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1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2024-11-15T14:35:00Z</dcterms:created>
  <dcterms:modified xsi:type="dcterms:W3CDTF">2024-11-15T14:45:00Z</dcterms:modified>
</cp:coreProperties>
</file>