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1774A" w14:textId="01E3F13C" w:rsidR="00132FA2" w:rsidRPr="00132FA2" w:rsidRDefault="00132FA2" w:rsidP="00132FA2">
      <w:pPr>
        <w:jc w:val="center"/>
        <w:outlineLvl w:val="0"/>
        <w:rPr>
          <w:rFonts w:ascii="Arial" w:eastAsia="Times New Roman" w:hAnsi="Arial" w:cs="Arial"/>
          <w:i/>
          <w:iCs/>
          <w:color w:val="000000" w:themeColor="text1"/>
        </w:rPr>
      </w:pPr>
      <w:bookmarkStart w:id="0" w:name="_GoBack"/>
      <w:bookmarkEnd w:id="0"/>
      <w:r w:rsidRPr="00132FA2">
        <w:rPr>
          <w:rFonts w:ascii="Arial" w:eastAsia="Times New Roman" w:hAnsi="Arial" w:cs="Arial"/>
          <w:b/>
          <w:bCs/>
          <w:color w:val="000000" w:themeColor="text1"/>
          <w:kern w:val="36"/>
          <w:sz w:val="38"/>
          <w:szCs w:val="38"/>
        </w:rPr>
        <w:t>THỦ TỤC HOÀN THUẾ GIÁ TRỊ GIA TĂNG</w:t>
      </w:r>
    </w:p>
    <w:p w14:paraId="454A0BF4" w14:textId="77777777" w:rsidR="00132FA2" w:rsidRPr="00132FA2" w:rsidRDefault="00132FA2" w:rsidP="00132FA2">
      <w:pPr>
        <w:jc w:val="both"/>
        <w:outlineLvl w:val="1"/>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I. Hoàn Thuế GTGT Là Gì?</w:t>
      </w:r>
    </w:p>
    <w:p w14:paraId="44B960B7" w14:textId="04DD7E36" w:rsidR="00132FA2" w:rsidRPr="00132FA2" w:rsidRDefault="00132FA2" w:rsidP="00132FA2">
      <w:pPr>
        <w:jc w:val="both"/>
        <w:rPr>
          <w:rFonts w:ascii="Times New Roman" w:eastAsia="Times New Roman" w:hAnsi="Times New Roman" w:cs="Times New Roman"/>
          <w:color w:val="000000" w:themeColor="text1"/>
          <w:sz w:val="26"/>
          <w:szCs w:val="26"/>
        </w:rPr>
      </w:pPr>
    </w:p>
    <w:p w14:paraId="61DEC83D"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b/>
          <w:bCs/>
          <w:color w:val="000000" w:themeColor="text1"/>
          <w:sz w:val="26"/>
          <w:szCs w:val="26"/>
        </w:rPr>
        <w:t>Thuế giá trị gia tăng</w:t>
      </w:r>
      <w:r w:rsidRPr="00132FA2">
        <w:rPr>
          <w:rFonts w:ascii="Times New Roman" w:eastAsia="Times New Roman" w:hAnsi="Times New Roman" w:cs="Times New Roman"/>
          <w:color w:val="000000" w:themeColor="text1"/>
          <w:sz w:val="26"/>
          <w:szCs w:val="26"/>
        </w:rPr>
        <w:t> (GTGT) là thuế được tính trên giá trị tăng thêm của hàng hóa, dịch vụ phát sinh trong quá trình từ sản xuất, quá trình lưu thông đến tiêu dùng. Theo đó khi tiến hành hoạt động sản xuất, kinh doanh thì công ty, doanh nghiệp phải nộp thuế GTGT theo quy định của pháp luật.</w:t>
      </w:r>
    </w:p>
    <w:p w14:paraId="3AB4BB48" w14:textId="77777777" w:rsidR="00132FA2" w:rsidRPr="00132FA2" w:rsidRDefault="00132FA2" w:rsidP="00132FA2">
      <w:pPr>
        <w:shd w:val="clear" w:color="auto" w:fill="EDEDED"/>
        <w:jc w:val="both"/>
        <w:rPr>
          <w:rFonts w:ascii="Times New Roman" w:eastAsia="Times New Roman" w:hAnsi="Times New Roman" w:cs="Times New Roman"/>
          <w:i/>
          <w:iCs/>
          <w:color w:val="000000" w:themeColor="text1"/>
          <w:sz w:val="26"/>
          <w:szCs w:val="26"/>
        </w:rPr>
      </w:pPr>
      <w:r w:rsidRPr="00132FA2">
        <w:rPr>
          <w:rFonts w:ascii="Times New Roman" w:eastAsia="Times New Roman" w:hAnsi="Times New Roman" w:cs="Times New Roman"/>
          <w:b/>
          <w:bCs/>
          <w:i/>
          <w:iCs/>
          <w:color w:val="000000" w:themeColor="text1"/>
          <w:sz w:val="26"/>
          <w:szCs w:val="26"/>
        </w:rPr>
        <w:t>Hoàn thuế GTGT</w:t>
      </w:r>
      <w:r w:rsidRPr="00132FA2">
        <w:rPr>
          <w:rFonts w:ascii="Times New Roman" w:eastAsia="Times New Roman" w:hAnsi="Times New Roman" w:cs="Times New Roman"/>
          <w:i/>
          <w:iCs/>
          <w:color w:val="000000" w:themeColor="text1"/>
          <w:sz w:val="26"/>
          <w:szCs w:val="26"/>
        </w:rPr>
        <w:t> là việc nhà nước trả lại số tiền nộp thuế GTGT mà các đối tượng nộp thuế đã nộp cho ngân sách nhà nước trong một số trường hợp nhất định.</w:t>
      </w:r>
    </w:p>
    <w:p w14:paraId="42817AF2" w14:textId="77777777" w:rsidR="00132FA2" w:rsidRPr="00132FA2" w:rsidRDefault="00132FA2" w:rsidP="00132FA2">
      <w:pPr>
        <w:jc w:val="both"/>
        <w:outlineLvl w:val="1"/>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II. Các Trường Hợp Được Hoàn Thuế GTGT</w:t>
      </w:r>
    </w:p>
    <w:p w14:paraId="7C565BD2"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Theo quy định có 9 đối tượng hoàn thuế GTGT cụ thể như sau:</w:t>
      </w:r>
    </w:p>
    <w:p w14:paraId="180D7330"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1. Doanh nghiệp nộp thuế GTGT theo </w:t>
      </w:r>
      <w:hyperlink r:id="rId5" w:tgtFrame="_blank" w:history="1">
        <w:r w:rsidRPr="00132FA2">
          <w:rPr>
            <w:rFonts w:ascii="Times New Roman" w:eastAsia="Times New Roman" w:hAnsi="Times New Roman" w:cs="Times New Roman"/>
            <w:b/>
            <w:bCs/>
            <w:color w:val="000000" w:themeColor="text1"/>
            <w:sz w:val="26"/>
            <w:szCs w:val="26"/>
          </w:rPr>
          <w:t>phương pháp khấu trừ</w:t>
        </w:r>
      </w:hyperlink>
      <w:r w:rsidRPr="00132FA2">
        <w:rPr>
          <w:rFonts w:ascii="Times New Roman" w:eastAsia="Times New Roman" w:hAnsi="Times New Roman" w:cs="Times New Roman"/>
          <w:color w:val="000000" w:themeColor="text1"/>
          <w:sz w:val="26"/>
          <w:szCs w:val="26"/>
        </w:rPr>
        <w:t> thuế nếu có số thuế GTGT đầu vào chưa được khấu trừ hết trong tháng (đối với trường hợp kê khai theo tháng) hoặc trong quý (đối với trường hợp kê khai theo quý) thì được khấu trừ vào kỳ tiếp theo. Trường hợp lũy kế sau ít nhất 12 tháng tính từ tháng đầu tiên hoặc sau ít nhất 4 quý tính từ quý đầu tiên phát sinh số thuế GTGT đầu vào chưa được khấu trừ hết mà vẫn còn số thuế GTGT đầu vào chưa được khấu trừ hết thì cơ sở kinh doanh được hoàn thuế.</w:t>
      </w:r>
    </w:p>
    <w:p w14:paraId="5708C17E"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2. Doanh nghiệp mới thành lập từ dự án đầu tư đã đăng ký kinh doanh, đăng ký nộp thuế GTGT theo phương pháp khấu trừ, hoặc dự án tìm kiếm thăm dò và phát triển mỏ dầu khí đang trong giai đoạn đầu tư, chưa đi vào hoạt động, nếu thời gian đầu tư từ 1 năm (12 tháng) trở lên thì được hoàn thuế GTGT của hàng hoá, dịch vụ sử dụng cho đầu tư theo từng năm. Trường hợp, nếu số thuế GTGT luỹ kế của hàng hoá, dịch vụ mua vào sử dụng cho đầu tư từ 300 triệu đồng trở lên thì được hoàn thuế GTGT.</w:t>
      </w:r>
    </w:p>
    <w:p w14:paraId="05F3DC70"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3. Hoàn thuế GTGT đối với dự án đầu tư mới. Trường hợp doanh nghiệp đang hoạt động thuộc đối tượng nộp thuế GTGT theo phương pháp khấu trừ có dự án đầu tư mới (trừ dự án đầu tư xây dựng nhà để bán) cùng tỉnh, thành phố, đang trong giai đoạn đầu tư thì doanh nghiệp thực hiện kê khai riêng đối với dự án đầu tư và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 (Xem chi tiết: </w:t>
      </w:r>
      <w:hyperlink r:id="rId6" w:tgtFrame="_blank" w:history="1">
        <w:r w:rsidRPr="00132FA2">
          <w:rPr>
            <w:rFonts w:ascii="Times New Roman" w:eastAsia="Times New Roman" w:hAnsi="Times New Roman" w:cs="Times New Roman"/>
            <w:b/>
            <w:bCs/>
            <w:color w:val="000000" w:themeColor="text1"/>
            <w:sz w:val="26"/>
            <w:szCs w:val="26"/>
          </w:rPr>
          <w:t>Hoàn thuế GTGT đối với dự án đầu tư</w:t>
        </w:r>
      </w:hyperlink>
      <w:r w:rsidRPr="00132FA2">
        <w:rPr>
          <w:rFonts w:ascii="Times New Roman" w:eastAsia="Times New Roman" w:hAnsi="Times New Roman" w:cs="Times New Roman"/>
          <w:color w:val="000000" w:themeColor="text1"/>
          <w:sz w:val="26"/>
          <w:szCs w:val="26"/>
        </w:rPr>
        <w:t>)</w:t>
      </w:r>
    </w:p>
    <w:p w14:paraId="775C6A1C"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4. Đối tượng được hoàn thuế GTGT là doanh nghiệp trong tháng (đối với trường hợp kê khai theo tháng), quý (đối với trường hợp kê khai theo quý) có hàng hoá, dịch vụ xuất khẩu nếu thuế GTGT đầu vào của hàng hóa, dịch vụ xuất khẩu chưa được khấu trừ từ 300 triệu đồng trở lên thì được hoàn thuế GTGT theo tháng, quý; trường hợp trong tháng, quý số thuế GTGT đầu vào của hàng hóa, dịch vụ xuất khẩu chưa được khấu trừ chưa đủ 300 triệu đồng thì được khấu trừ vào tháng, quý tiếp theo.</w:t>
      </w:r>
    </w:p>
    <w:p w14:paraId="2F5FA192"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Doanh nghiệp trong tháng/quý vừa có hàng hoá, dịch vụ xuất khẩu, vừa có hàng hoá, dịch vụ bán trong nước thì doanh nghiệp được hoàn thuế GTGT cho hàng hoá, dịch vụ xuất khẩu nếu số thuế GTGT đầu vào của hàng hoá, dịch vụ xuất khẩu chưa được khấu trừ hết từ 300 triệu đồng trở lên.</w:t>
      </w:r>
    </w:p>
    <w:p w14:paraId="02C61903"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lastRenderedPageBreak/>
        <w:t>Nếu số thuế GTGT đầu vào của hàng hóa, dịch vụ xuất khẩu đã tính phân bổ như trên chưa được khấu trừ nhỏ hơn 300 triệu đồng thì cơ sở kinh doanh không được xét hoàn thuế theo tháng/quý mà kết chuyển sang kỳ tính thuế tiếp theo; nếu số thuế GTGT đầu vào của hàng hóa, dịch vụ xuất khẩu chưa được khấu trừ từ 300 triệu đồng trở lên thì cơ sở kinh doanh được hoàn thuế GTGT theo tháng/quý.</w:t>
      </w:r>
    </w:p>
    <w:p w14:paraId="04BA39B2"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5. Doanh nghiệp nộp thuế GTGT theo phương pháp khấu trừ thuế được hoàn thuế GTGT khi chuyển đổi sở hữu, chuyển đổi doanh nghiệp, sáp nhập, hợp nhất, chia, tách, giải thể, phá sản, chấm dứt hoạt động có số thuế GTGT nộp thừa hoặc số thuế GTGT đầu vào chưa được khấu trừ hết.</w:t>
      </w:r>
    </w:p>
    <w:p w14:paraId="77441E94"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Trường hợp doanh nghiệp trong giai đoạn đầu tư chưa đi vào hoạt động sản xuất kinh doanh giải thể không phát sinh thuế GTGT đầu ra của hoạt động kinh doanh chính theo dự án đầu tư thì không thuộc đối tượng được hoàn thuế GTGT. Trường hợp doanh nghiệp đã được hoàn thuế cho dự án đầu tư thì phải truy hoàn số thuế đã được hoàn cho ngân sách nhà nước.</w:t>
      </w:r>
    </w:p>
    <w:p w14:paraId="0B561E74"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6. Hoàn thuế GTGT đối với các chương trình, dự án sử dụng nguồn vốn hỗ trợ phát triển chính thức (ODA) không hoàn lại hoặc viện trợ không hoàn lại, viện trợ nhân đạo. Trong đó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14:paraId="01DAF4BA"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14:paraId="47EB39F8"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7. Đối tượng được hưởng quyền ưu đãi miễn trừ ngoại giao theo quy định của pháp luật về ưu đãi miễn trừ ngoại giao mua hàng hóa, dịch vụ tại Việt Nam để sử dụng được hoàn số thuế GTGT đã trả ghi trên hoá đơn GTGT hoặc trên chứng từ thanh toán ghi giá thanh toán đã có thuế GTGT.</w:t>
      </w:r>
    </w:p>
    <w:p w14:paraId="261BB3FE"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8. Là người nước ngoài, người Việt Nam định cư ở nước ngoài mang hộ chiếu hoặc giấy tờ nhập cảnh do cơ quan có thẩm quyền nước ngoài cấp được hoàn thuế đối với hàng hoá mua tại Việt Nam mang theo người khi xuất cảnh. Việc hoàn thuế GTGT thực hiện theo hướng dẫn của Bộ Tài chính về hoàn thuế GTGT đối với hàng hoá của người nước ngoài, người Việt Nam định cư ở nước ngoài mua tại Việt Nam mang theo khi xuất cảnh.</w:t>
      </w:r>
    </w:p>
    <w:p w14:paraId="0FD4DA0A"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9. Doanh nghiệp có quyết định xử lý hoàn thuế của cơ quan có thẩm quyền theo quy định của pháp luật và trường hợp hoàn thuế giá trị gia tăng theo điều ước quốc tế mà CHXHCN Việt Nam là thành viên.</w:t>
      </w:r>
    </w:p>
    <w:p w14:paraId="73BD5F09"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i/>
          <w:iCs/>
          <w:color w:val="000000" w:themeColor="text1"/>
          <w:sz w:val="26"/>
          <w:szCs w:val="26"/>
        </w:rPr>
        <w:t>Trên đây là các trường hợp hoàn thuế GTGT, tiếp theo chúng ta cùng tìm hiểu điều kiện để được hoàn thuế GTGT và hồ sơ hoàn thuế GTGT</w:t>
      </w:r>
    </w:p>
    <w:p w14:paraId="42F3DF52" w14:textId="77777777" w:rsidR="00132FA2" w:rsidRPr="00132FA2" w:rsidRDefault="00132FA2" w:rsidP="00132FA2">
      <w:pPr>
        <w:jc w:val="both"/>
        <w:outlineLvl w:val="1"/>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III. Điều Kiện Và Thủ Tục Hoàn Thuế GTGT</w:t>
      </w:r>
    </w:p>
    <w:p w14:paraId="20CB1ACB" w14:textId="7744F0C0" w:rsidR="00132FA2" w:rsidRPr="00132FA2" w:rsidRDefault="00132FA2" w:rsidP="00132FA2">
      <w:pPr>
        <w:jc w:val="both"/>
        <w:rPr>
          <w:rFonts w:ascii="Times New Roman" w:eastAsia="Times New Roman" w:hAnsi="Times New Roman" w:cs="Times New Roman"/>
          <w:color w:val="000000" w:themeColor="text1"/>
          <w:sz w:val="26"/>
          <w:szCs w:val="26"/>
        </w:rPr>
      </w:pPr>
    </w:p>
    <w:p w14:paraId="7884638E"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Được quy định tại Điều 19 (Đối tượng và trường hợp được hoàn thuế GTGT) Văn bản hợp nhất số 14/VBHN-BTC Hướng dẫn thi hành Luật Thuế giá trị gia tăng và Nghị định số 209/2013/NĐ-CP ngày 18/12/2013 của Chính phủ quy định chi tiết và hướng dẫn thi hành một số điều Luật Thuế giá trị gia tăng</w:t>
      </w:r>
    </w:p>
    <w:p w14:paraId="09EC44B6"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lastRenderedPageBreak/>
        <w:t>Theo đó </w:t>
      </w:r>
      <w:r w:rsidRPr="00132FA2">
        <w:rPr>
          <w:rFonts w:ascii="Times New Roman" w:eastAsia="Times New Roman" w:hAnsi="Times New Roman" w:cs="Times New Roman"/>
          <w:b/>
          <w:bCs/>
          <w:color w:val="000000" w:themeColor="text1"/>
          <w:sz w:val="26"/>
          <w:szCs w:val="26"/>
        </w:rPr>
        <w:t>điều kiện hoàn thuế GTGT</w:t>
      </w:r>
      <w:r w:rsidRPr="00132FA2">
        <w:rPr>
          <w:rFonts w:ascii="Times New Roman" w:eastAsia="Times New Roman" w:hAnsi="Times New Roman" w:cs="Times New Roman"/>
          <w:color w:val="000000" w:themeColor="text1"/>
          <w:sz w:val="26"/>
          <w:szCs w:val="26"/>
        </w:rPr>
        <w:t> là:</w:t>
      </w:r>
    </w:p>
    <w:p w14:paraId="4814B2FD" w14:textId="77777777" w:rsidR="00132FA2" w:rsidRPr="00132FA2" w:rsidRDefault="00132FA2" w:rsidP="00132FA2">
      <w:pPr>
        <w:numPr>
          <w:ilvl w:val="0"/>
          <w:numId w:val="2"/>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Doanh nghiệp nộp thuế theo phương pháp khấu trừ;</w:t>
      </w:r>
    </w:p>
    <w:p w14:paraId="5D236894" w14:textId="77777777" w:rsidR="00132FA2" w:rsidRPr="00132FA2" w:rsidRDefault="00132FA2" w:rsidP="00132FA2">
      <w:pPr>
        <w:numPr>
          <w:ilvl w:val="0"/>
          <w:numId w:val="2"/>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Đã được cấp giấy chứng nhận đăng ký kinh doanh hoặc giấy phép đầu tư (giấy phép hành nghề) hoặc quyết định thành lập của cơ quan có thẩm quyền;</w:t>
      </w:r>
    </w:p>
    <w:p w14:paraId="326FD959" w14:textId="77777777" w:rsidR="00132FA2" w:rsidRPr="00132FA2" w:rsidRDefault="00132FA2" w:rsidP="00132FA2">
      <w:pPr>
        <w:numPr>
          <w:ilvl w:val="0"/>
          <w:numId w:val="2"/>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Có con dấu theo đúng quy định của pháp luật;</w:t>
      </w:r>
    </w:p>
    <w:p w14:paraId="07F1EE2C" w14:textId="77777777" w:rsidR="00132FA2" w:rsidRPr="00132FA2" w:rsidRDefault="00132FA2" w:rsidP="00132FA2">
      <w:pPr>
        <w:numPr>
          <w:ilvl w:val="0"/>
          <w:numId w:val="2"/>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Lập và lưu giữ sổ kế toán, chứng từ kế toán theo quy định của pháp luật về kế toán;</w:t>
      </w:r>
    </w:p>
    <w:p w14:paraId="674AC25B" w14:textId="77777777" w:rsidR="00132FA2" w:rsidRPr="00132FA2" w:rsidRDefault="00132FA2" w:rsidP="00132FA2">
      <w:pPr>
        <w:numPr>
          <w:ilvl w:val="0"/>
          <w:numId w:val="2"/>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Có tài khoản tiền gửi tại ngân hàng theo mã số thuế của doanh nghiệp.</w:t>
      </w:r>
    </w:p>
    <w:p w14:paraId="659CF556" w14:textId="77777777" w:rsidR="00132FA2" w:rsidRPr="00132FA2" w:rsidRDefault="00132FA2" w:rsidP="00132FA2">
      <w:pPr>
        <w:jc w:val="both"/>
        <w:outlineLvl w:val="1"/>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IV. Hồ Sơ Hoàn Thuế GTGT</w:t>
      </w:r>
    </w:p>
    <w:p w14:paraId="517CD276" w14:textId="2AD4F534" w:rsidR="00132FA2" w:rsidRPr="00132FA2" w:rsidRDefault="00132FA2" w:rsidP="00132FA2">
      <w:pPr>
        <w:jc w:val="both"/>
        <w:rPr>
          <w:rFonts w:ascii="Times New Roman" w:eastAsia="Times New Roman" w:hAnsi="Times New Roman" w:cs="Times New Roman"/>
          <w:color w:val="000000" w:themeColor="text1"/>
          <w:sz w:val="26"/>
          <w:szCs w:val="26"/>
        </w:rPr>
      </w:pPr>
    </w:p>
    <w:p w14:paraId="4E96CE9F"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1. Hồ sơ hoàn thuế GTGT hàng xuất khẩu</w:t>
      </w:r>
    </w:p>
    <w:p w14:paraId="0A81912B"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Danh sách hồ sơ hoàn thuế GTGT đối với hàng xuất khẩu:</w:t>
      </w:r>
    </w:p>
    <w:p w14:paraId="27AAC536" w14:textId="77777777" w:rsidR="00132FA2" w:rsidRPr="00132FA2" w:rsidRDefault="00132FA2" w:rsidP="00132FA2">
      <w:pPr>
        <w:numPr>
          <w:ilvl w:val="0"/>
          <w:numId w:val="3"/>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Giấy đề nghị hoàn trả khoản thu NSNN mẫu số 01/ĐHNT (ban hàng kèm theo Thông tư 156/2013/TT-BTC)</w:t>
      </w:r>
    </w:p>
    <w:p w14:paraId="5D5C70FF" w14:textId="77777777" w:rsidR="00132FA2" w:rsidRPr="00132FA2" w:rsidRDefault="00132FA2" w:rsidP="00132FA2">
      <w:pPr>
        <w:numPr>
          <w:ilvl w:val="0"/>
          <w:numId w:val="3"/>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Hợp đồng mua bán, gia công, tờ khai hải quan, chứng từ thanh toán qua ngân hàng…</w:t>
      </w:r>
    </w:p>
    <w:p w14:paraId="3E67D24F"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2. Hồ sơ </w:t>
      </w:r>
      <w:hyperlink r:id="rId7" w:tgtFrame="_blank" w:history="1">
        <w:r w:rsidRPr="00132FA2">
          <w:rPr>
            <w:rFonts w:ascii="Times New Roman" w:eastAsia="Times New Roman" w:hAnsi="Times New Roman" w:cs="Times New Roman"/>
            <w:color w:val="000000" w:themeColor="text1"/>
            <w:sz w:val="26"/>
            <w:szCs w:val="26"/>
          </w:rPr>
          <w:t>hoàn thuế GTGT dự án đầu tư</w:t>
        </w:r>
      </w:hyperlink>
    </w:p>
    <w:p w14:paraId="2FFBFB37" w14:textId="77777777" w:rsidR="00132FA2" w:rsidRPr="00132FA2" w:rsidRDefault="00132FA2" w:rsidP="00132FA2">
      <w:pPr>
        <w:numPr>
          <w:ilvl w:val="0"/>
          <w:numId w:val="4"/>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Giấy đề nghị hoàn trả Khoản thu ngân sách nhà nước mẫu 01/ĐHNT (ban hành kèm theo Thông tư 156/2013/TT-BTC)</w:t>
      </w:r>
    </w:p>
    <w:p w14:paraId="70E130A3" w14:textId="77777777" w:rsidR="00132FA2" w:rsidRPr="00132FA2" w:rsidRDefault="00132FA2" w:rsidP="00132FA2">
      <w:pPr>
        <w:numPr>
          <w:ilvl w:val="0"/>
          <w:numId w:val="4"/>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Tờ khai thuế GTGT dành cho dự án đầu tư theo mẫu số 02/GTGT</w:t>
      </w:r>
    </w:p>
    <w:p w14:paraId="0A13DE3F" w14:textId="77777777" w:rsidR="00132FA2" w:rsidRPr="00132FA2" w:rsidRDefault="00132FA2" w:rsidP="00132FA2">
      <w:pPr>
        <w:numPr>
          <w:ilvl w:val="0"/>
          <w:numId w:val="4"/>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Bảng kê hóa đơn, chứng từ hàng hóa dịch vụ mua vào theo mẫu số 01-2/GTGT</w:t>
      </w:r>
    </w:p>
    <w:p w14:paraId="3741C245"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3. Hoàn thuế GTGT đối với dự án ODA</w:t>
      </w:r>
    </w:p>
    <w:p w14:paraId="70C6B16C"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Thủ tục hoàn thuế GTGT đối với các dự án ODA trong các trường hợp khác nhau</w:t>
      </w:r>
    </w:p>
    <w:p w14:paraId="11916CB4"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3.1. Đối với Chủ dự án và Nhà thầu chính:</w:t>
      </w:r>
    </w:p>
    <w:p w14:paraId="13040199"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b/>
          <w:bCs/>
          <w:color w:val="000000" w:themeColor="text1"/>
          <w:sz w:val="26"/>
          <w:szCs w:val="26"/>
        </w:rPr>
        <w:t>a. Nộp hồ sơ đề nghị hoàn thuế GTGT</w:t>
      </w:r>
    </w:p>
    <w:p w14:paraId="1BBDF3A5" w14:textId="77777777" w:rsidR="00132FA2" w:rsidRPr="00132FA2" w:rsidRDefault="00132FA2" w:rsidP="00132FA2">
      <w:pPr>
        <w:numPr>
          <w:ilvl w:val="0"/>
          <w:numId w:val="5"/>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Chủ dự án ODA nộp hồ sơ đề nghị hoàn thuế GTGT gửi Cục Thuế quản lý trực tiếp địa bàn nơi thực hiện dự án vào bất kỳ thời điểm nào khi phát sinh số thuế GTGT đầu vào được hoàn trong thời gian thực hiện dự án, trường hợp dự án ODA có liên quan đến nhiều tỉnh thì hồ sơ hoàn thúe GTGT gửi Cục Thuế quản lý trực tiếp nơi chủ dự án đóng trụ sở chính.</w:t>
      </w:r>
    </w:p>
    <w:p w14:paraId="6138C918" w14:textId="77777777" w:rsidR="00132FA2" w:rsidRPr="00132FA2" w:rsidRDefault="00132FA2" w:rsidP="00132FA2">
      <w:pPr>
        <w:numPr>
          <w:ilvl w:val="0"/>
          <w:numId w:val="5"/>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Nhà thầu nước ngoài thực hiện dự án ODA nộp hồ sơ đề nghị hoàn thuế GTGT gửi cơ quan thuế nơi nộp hồ sơ khai thuế.</w:t>
      </w:r>
    </w:p>
    <w:p w14:paraId="5A879AD9"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b. Hồ sơ hoàn thuế GTGT</w:t>
      </w:r>
    </w:p>
    <w:p w14:paraId="1F4C5DB6" w14:textId="77777777" w:rsidR="00132FA2" w:rsidRPr="00132FA2" w:rsidRDefault="00132FA2" w:rsidP="00132FA2">
      <w:pPr>
        <w:numPr>
          <w:ilvl w:val="0"/>
          <w:numId w:val="6"/>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Giấy đề nghị hoàn trả Khoản thu ngân sách nhà nước mẫu 01/ĐHNT (ban hành kèm theo Thông tư 156/2013/TT-BTC)</w:t>
      </w:r>
    </w:p>
    <w:p w14:paraId="4FB3D1A7" w14:textId="77777777" w:rsidR="00132FA2" w:rsidRPr="00132FA2" w:rsidRDefault="00132FA2" w:rsidP="00132FA2">
      <w:pPr>
        <w:numPr>
          <w:ilvl w:val="0"/>
          <w:numId w:val="6"/>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Bảng kê hóa đơn, chứng từ hàng hóa dịch vụ mua vào mẫu số 01-1/ĐHNT ban hành kèm theo Thông tư 156.</w:t>
      </w:r>
    </w:p>
    <w:p w14:paraId="407ED8E5" w14:textId="77777777" w:rsidR="00132FA2" w:rsidRPr="00132FA2" w:rsidRDefault="00132FA2" w:rsidP="00132FA2">
      <w:pPr>
        <w:numPr>
          <w:ilvl w:val="0"/>
          <w:numId w:val="6"/>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Quyết định của cấp có thẩm quyền việc phê duyệt dự án sử dụng vốn ODA không hoàn lại, dự án sử dụng vốn ODA vay ưu đãi được ngân sách nhà nước cấp phát (bản chụp có đóng dấu và chữ ký xác nhận của người có thẩm quyền của dự án). Trường hợp hoàn thuế nhiều lần thì chỉ xuất trình lần đầu.</w:t>
      </w:r>
    </w:p>
    <w:p w14:paraId="5D53B23D" w14:textId="77777777" w:rsidR="00132FA2" w:rsidRPr="00132FA2" w:rsidRDefault="00132FA2" w:rsidP="00132FA2">
      <w:pPr>
        <w:numPr>
          <w:ilvl w:val="0"/>
          <w:numId w:val="6"/>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xml:space="preserve">Xác nhận của cơ quan chủ quản dự án ODA về hình thức cung cấp dự án ODA là ODA không hoàn lại hay ODA vay được ngân hàng nhà nước cấp phát ưu đãi thuộc đối tượng được hoàn thuế GTGT (bản chụp có xác nhận của cơ sở) và việc không </w:t>
      </w:r>
      <w:r w:rsidRPr="00132FA2">
        <w:rPr>
          <w:rFonts w:ascii="Times New Roman" w:eastAsia="Times New Roman" w:hAnsi="Times New Roman" w:cs="Times New Roman"/>
          <w:color w:val="000000" w:themeColor="text1"/>
          <w:sz w:val="26"/>
          <w:szCs w:val="26"/>
        </w:rPr>
        <w:lastRenderedPageBreak/>
        <w:t>được ngân sách nhà nước cấp vốn đối ứng để trả thuế GTGT. Người nộp thuế chỉ phải nộp tài liệu này với hồ sơ hoàn thuế lần đầu của dự án.</w:t>
      </w:r>
    </w:p>
    <w:p w14:paraId="6EE9C153" w14:textId="77777777" w:rsidR="00132FA2" w:rsidRPr="00132FA2" w:rsidRDefault="00132FA2" w:rsidP="00132FA2">
      <w:pPr>
        <w:numPr>
          <w:ilvl w:val="0"/>
          <w:numId w:val="6"/>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Trường hợp nhà thầy chính lập hồ sơ hoàn thuế thì ngoài những tài liệu nêu tại điểm này, còn phải có xác nhận của chủ dự án về việc dự án không được ngân sách nhà nước bố trí vốn đối ứng để thanh toán cho nhà thầu theo giá có thé giá trị gia tăng; giá thanh toán theo kết quả thầu không có thuế giá trị gia tăng và đề nghị hoàn thuế cho nhà thầu chính.</w:t>
      </w:r>
    </w:p>
    <w:p w14:paraId="18AA6DF6"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3.2. Đối với văn phòng đại diện nhà tài trợ dự án ODA</w:t>
      </w:r>
    </w:p>
    <w:p w14:paraId="5D4943EB"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a. Nộp hồ sơ đề nghị hoàn thuế GTGT</w:t>
      </w:r>
    </w:p>
    <w:p w14:paraId="5EBF6822"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Văn phòng đại diện nhà tài trợ dự án ODA thuộc diện được hoàn thuế GTGT nộp hồ sơ đề nghị hoàn thuế GTGT gửi Cục Thuế quản lý địa bàn nơi đặt văn phòng điều hành của dự án vào bất kỳ thời điểm nào khi phát sinh số thuế GTGT đầu vào được hoàn trong thời gian thực hiện dự án.</w:t>
      </w:r>
    </w:p>
    <w:p w14:paraId="700AD16A"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b. Hồ sơ hoàn thuế GTGT</w:t>
      </w:r>
    </w:p>
    <w:p w14:paraId="6A10D361" w14:textId="77777777" w:rsidR="00132FA2" w:rsidRPr="00132FA2" w:rsidRDefault="00132FA2" w:rsidP="00132FA2">
      <w:pPr>
        <w:numPr>
          <w:ilvl w:val="0"/>
          <w:numId w:val="7"/>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Giấy đề nghị hoàn trả Khoản thu ngân sách nhà nước mẫu 01/ĐHNT (ban hành kèm theo Thông tư 156/2013/TT-BTC)</w:t>
      </w:r>
    </w:p>
    <w:p w14:paraId="228A2474" w14:textId="77777777" w:rsidR="00132FA2" w:rsidRPr="00132FA2" w:rsidRDefault="00132FA2" w:rsidP="00132FA2">
      <w:pPr>
        <w:numPr>
          <w:ilvl w:val="0"/>
          <w:numId w:val="7"/>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Bảng kê hóa đơn, chứng từ hàng hóa dịch vụ mua vào mẫu số 01-1/ĐHNT ban hành kèm theo Thông tư 156.</w:t>
      </w:r>
    </w:p>
    <w:p w14:paraId="28A5456B" w14:textId="77777777" w:rsidR="00132FA2" w:rsidRPr="00132FA2" w:rsidRDefault="00132FA2" w:rsidP="00132FA2">
      <w:pPr>
        <w:numPr>
          <w:ilvl w:val="0"/>
          <w:numId w:val="7"/>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Văn bản thỏa thuận giữa cơ quan nhà nước có thẩm quyền của Việt Nam với Nhà tài trợ về việc thành lập Văn phòng đại diện (bản chụp có xác nhận của Văn phòng).</w:t>
      </w:r>
    </w:p>
    <w:p w14:paraId="6764D417" w14:textId="77777777" w:rsidR="00132FA2" w:rsidRPr="00132FA2" w:rsidRDefault="00132FA2" w:rsidP="00132FA2">
      <w:pPr>
        <w:numPr>
          <w:ilvl w:val="0"/>
          <w:numId w:val="7"/>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Văn bản của cơ quan nhà nước có thẩm quyền về việc thành lập Văn phòng đại diện (bản chụp có xác nhận của Văn phòng).</w:t>
      </w:r>
    </w:p>
    <w:p w14:paraId="2229555E"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4. Hoàn thuế đối với tổ chức, cá nhân nước ngoài, tổ chức ở Việt Nam sử dụng tiền viện trợ nhân đạo, viện trợ không hoàn lại của nước ngoài mua hàng hóa, dịch vụ có thuế GTGT ở Việt Nam để viện trợ không hoàn lại, viện trợ nhân đạo.</w:t>
      </w:r>
    </w:p>
    <w:p w14:paraId="26BCB6EA"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4.1. Nộp hồ sơ đề nghị hoàn thuế GTGT</w:t>
      </w:r>
    </w:p>
    <w:p w14:paraId="30C1F897"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Các tổ chức, cá nhân nêu trên nộp hồ sơ đề nghị hoàn thuế GTGT vào bất kỳ thời điểm nào khi phát sinh số thuế GTGT đầu vào được hoàn.</w:t>
      </w:r>
    </w:p>
    <w:p w14:paraId="1C6A7A92"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4.2. Hồ sơ hoàn thuế GTGT</w:t>
      </w:r>
    </w:p>
    <w:p w14:paraId="3BECF1FB" w14:textId="77777777" w:rsidR="00132FA2" w:rsidRPr="00132FA2" w:rsidRDefault="00132FA2" w:rsidP="00132FA2">
      <w:pPr>
        <w:numPr>
          <w:ilvl w:val="0"/>
          <w:numId w:val="8"/>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Giấy đề nghị hoàn trả Khoản thu ngân sách nhà nước mẫu 01/ĐHNT (ban hành kèm theo Thông tư 156/2013/TT-BTC)</w:t>
      </w:r>
    </w:p>
    <w:p w14:paraId="0C0BF3D7" w14:textId="77777777" w:rsidR="00132FA2" w:rsidRPr="00132FA2" w:rsidRDefault="00132FA2" w:rsidP="00132FA2">
      <w:pPr>
        <w:numPr>
          <w:ilvl w:val="0"/>
          <w:numId w:val="8"/>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Bảng kê hóa đơn, chứng từ hàng hóa dịch vụ mua vào mẫu số 01-1/ĐHNT ban hành kèm theo Thông tư 156.</w:t>
      </w:r>
    </w:p>
    <w:p w14:paraId="419647C9" w14:textId="77777777" w:rsidR="00132FA2" w:rsidRPr="00132FA2" w:rsidRDefault="00132FA2" w:rsidP="00132FA2">
      <w:pPr>
        <w:numPr>
          <w:ilvl w:val="0"/>
          <w:numId w:val="8"/>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Văn bản phê duyệt các khoản viện trợ của cấp có thẩm quyền (bản chụp có xác nhận của người nộp thuế)</w:t>
      </w:r>
    </w:p>
    <w:p w14:paraId="3D4CCB34" w14:textId="77777777" w:rsidR="00132FA2" w:rsidRPr="00132FA2" w:rsidRDefault="00132FA2" w:rsidP="00132FA2">
      <w:pPr>
        <w:numPr>
          <w:ilvl w:val="0"/>
          <w:numId w:val="8"/>
        </w:num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Văn bản xác nhận của Bộ Tài Chính (đối với viện trợ nước ngoài thuộc nguồn thu ngân sách trung ương) hoặc của Sở Tài Chính (đối với viện trợ nước ngoài thuộc nguồn thu ngân sách địa phương) về khoản tiền viện trợ của tổ chức phi chính phủ nước ngoài nêu rõ: tên tổ chức viện trợ, giá trị khoản viện trợ, cơ quan tiếp nhận, quản lý viện trợ.</w:t>
      </w:r>
    </w:p>
    <w:p w14:paraId="461C53EB"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5. Hoàn thuế GTGT đối với đối tượng hưởng ưu đãi miễn trừ ngoại giao</w:t>
      </w:r>
    </w:p>
    <w:p w14:paraId="47CC49E5"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5.1. Nộp hồ sơ đề nghị hoàn thuế và thủ tục giải quyết hồ sơ hoàn thuế GTGT</w:t>
      </w:r>
    </w:p>
    <w:p w14:paraId="033BA2C6"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lastRenderedPageBreak/>
        <w:t>- Các Cơ quan đại diện thuộc đối tượng được hoàn thuế GTGT, trong vòng 10 ngày đầu của tháng đầu quý, lập hồ sơ đề nghị hoàn thuế của quý trước và gửi hồ sơ cho Cục Lễ tân nhà nước trực thuộc Bộ Ngoại giao để xác nhận hồ sơ hoàn thuế GTGT.</w:t>
      </w:r>
    </w:p>
    <w:p w14:paraId="21E02B79"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Trong vòng 15 ngày làm việc kể từ khi nhận đầy đủ hồ sơ, Cục Lễ tân nhà nước có trách nhiệm xem xét hồ sơ và xác nhận về đối tượng, danh mục và số lượng hàng hóa, dịch vụ được hoàn thuế GTGT. Sau khi Cục lễ tân nhà nước đã có xác nhận hồ sơ hoàn thuế GTGT, Cục Lễ tân nhà nước chuyển hồ sơ cho Cục thuế các tỉnh, thành phố trực thuộc Trung ương giải quyết.</w:t>
      </w:r>
    </w:p>
    <w:p w14:paraId="2FF07483"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Đối với trường hợp không thuộc đối tượng được hoàn thúe GTGT hoặc hồ sơ hoàn thuế GTGT được lập không đầy đủ, Cục lễ tân nhà nước gửi trả hồ sơ hoàn thuế cho đối tượng hưởng ưu đãi miễn trừ ngoại giao trong vòng 05 (năm) ngày kể từ ngày nhận hồ sơ.</w:t>
      </w:r>
    </w:p>
    <w:p w14:paraId="36B28EDF"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5.2. Hồ sơ hoàn thuế GTGT</w:t>
      </w:r>
    </w:p>
    <w:p w14:paraId="7B1FCD36"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Giấy đề nghị hoàn trả Khoản thu ngân sách nhà nước mẫu 01/ĐHNT (ban hành kèm theo Thông tư 156/2013/TT-BTC) có xác nhận của Cục lễ tân nhà nước trực thuộc Bộ Ngoại Giao.</w:t>
      </w:r>
    </w:p>
    <w:p w14:paraId="0E108668"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Bảng kê thuế GTGT của hàng hóa, dịch vụ mua vào dùng cho cơ quan đại diện ngoại giao theo mẫu số 01-2/ĐHNT ban hành kèm theo Thông tư này và Bảng kê thuế GTGT của hàng hóa, dịch vụ mua vào dùng cho viên chức ngoại giao tại Việt Nam theo mẫu số 01-3/ĐHNT ban hành theo Thông tư 156.</w:t>
      </w:r>
    </w:p>
    <w:p w14:paraId="2B010BF0"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Bản gốc kèm theo 02 (hai) bản chụp hóa đơn GTGT có đóng dấu của cơ quan đại diện. Cơ quan thuế sẽ trả lại các hóa đơn gốc cho cơ quan đại diện sau khi thực hiện hoàn thuế GTGT.</w:t>
      </w:r>
    </w:p>
    <w:p w14:paraId="6233CCF4"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6. Hoàn thuế theo Hiệp định tránh đánh thuế hai lần</w:t>
      </w:r>
    </w:p>
    <w:p w14:paraId="784A9384"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6.1. Nộp hồ sơ đề nghị hoàn thuế</w:t>
      </w:r>
    </w:p>
    <w:p w14:paraId="600A17DA"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Tổ chức, cá nhân nộp hồ sơ hoàn thuế theo Hiệp định tránh đánh thuế hai lần tại Cục Thuế quản lý địa bàn nơi tổ chức có trụ sở điều hành, nơi cá nhân có cơ sở thường trú hoặc tại Cục Thuế nơi tổ chức, cá nhân đã nộp số thuế đề nghị hoàn.</w:t>
      </w:r>
    </w:p>
    <w:p w14:paraId="7E41EB6C" w14:textId="77777777" w:rsidR="00132FA2" w:rsidRPr="00132FA2" w:rsidRDefault="00132FA2" w:rsidP="00132FA2">
      <w:pPr>
        <w:jc w:val="both"/>
        <w:outlineLvl w:val="3"/>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6.2. Hồ sơ hoàn thuế</w:t>
      </w:r>
    </w:p>
    <w:p w14:paraId="41F17749"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Theo Khoản 13 Điều 2 Thông tư 26/2015/TT-BTC</w:t>
      </w:r>
    </w:p>
    <w:p w14:paraId="6779F878"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Giấy đề nghị hoàn thuế theo Hiệp định tránh đánh thuế hai lần theo mẫu số 02/ĐNHT ban hành kèm theo Thông tư 156.</w:t>
      </w:r>
    </w:p>
    <w:p w14:paraId="4D3E0256"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Bản gốc (hoặc bản chụp đã được chứng thực). Giấy chứng nhận cư trú do cơ quan thuế của nước cư trú cấp đã được hợp pháp hóa lãnh sự (ghi rõ là đối tượng cư trú trong năm tính thuế nào).</w:t>
      </w:r>
    </w:p>
    <w:p w14:paraId="5EEC88EA"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Bản chụp hợp đồng kinh tế, hợp đồng cung cấp dịch vụ, hợp đồng đại lý, hợp đồng ủy thác, hợp đồng chuyển giao công nghệ hay hợp đồng ký với tổ chức, cá nhân Việt Nam, giấy chứng nhận tiền gửi tại Việt Nam, giấy chứng nhận góp vốn vào Công ty tại Việt Nam (tùy theo loại thu nhập trong từng trường hợp cụ thể) có xác nhận của người nộp thuế.</w:t>
      </w:r>
    </w:p>
    <w:p w14:paraId="334D5386"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Xác nhận của tổ chức, cá nhân Việt Nam ký kết hợp đồng về thời gian và tình hình hoạt động thực tế theo hợp đồng (trừ trường hợp hoàn thuế đối với hãng vận tải nước ngoài).</w:t>
      </w:r>
    </w:p>
    <w:p w14:paraId="3889FF57"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xml:space="preserve">- Giấy ủy quyền trong trường hợp tổ chức, cá nhân ủy quyền cho đại diện hợp pháp thực hiện thủ tục áp dụng Hiệp định. Trường hợp tổ chức, cá nhân lập giấy ủy quyền để ủy quyền cho đại diện hợp pháp thực hiện thủ tục hoàn thuế vào tài khoản của đối tượng khác </w:t>
      </w:r>
      <w:r w:rsidRPr="00132FA2">
        <w:rPr>
          <w:rFonts w:ascii="Times New Roman" w:eastAsia="Times New Roman" w:hAnsi="Times New Roman" w:cs="Times New Roman"/>
          <w:color w:val="000000" w:themeColor="text1"/>
          <w:sz w:val="26"/>
          <w:szCs w:val="26"/>
        </w:rPr>
        <w:lastRenderedPageBreak/>
        <w:t>cần thực hiện thủ tục hợp pháp hóa lãnh sự (nếu việc ủy quyền được thực hiện ở nước ngoài) hoặc công chứng (nếu việc ủy quyền được thực hiện tại Việt Nam) theo quy định.</w:t>
      </w:r>
    </w:p>
    <w:p w14:paraId="21158745"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Trường hợp tổ chức, cá nhân không thể cung cấp đủ các thông tin hoặc các tài liệu theo yêu cầu của Hồ sơ hoàn thuế theo Hiệp định, đề nghị giải trình cụ thể tại Giấy đề nghị hoàn thuế theo Hiệp định mẫu số 02/ĐHNT nêu trên để cơ quan thuế xem xét, quyết định.</w:t>
      </w:r>
    </w:p>
    <w:p w14:paraId="51F333AA"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7. Hồ sơ hoàn thuế, phí nộp thừa đối với người nộp thuế sáp nhập, hợp nhất, chia, tách, giải thể, phá sản, chuyển đổi sở hữu, chấm dứt hoạt động.</w:t>
      </w:r>
    </w:p>
    <w:p w14:paraId="7A11D32D"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Giấy đề nghị hoàn trả Khoản thu ngân sách nhà nước mẫu 01/ĐHNT (ban hành kèm theo Thông tư 156/2013/TT-BTC)</w:t>
      </w:r>
    </w:p>
    <w:p w14:paraId="18DF5E0F"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Quyết định của cấp có thẩm quyền về việc sáp nhập, hợp nhất, chia, tách, giải thể, phá sản, chuyển đổi sở hữu, chấm dứt hoạt động;</w:t>
      </w:r>
    </w:p>
    <w:p w14:paraId="4C2830E7"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Hồ sơ quyết định thuế hoặc hồ sơ khai thuế đến thời điểm sáp nhập, hợp nhất, chia, tách, giải thể, phá sản, chuyển đổi sở hữu, chấm dứt hợp đồng.</w:t>
      </w:r>
    </w:p>
    <w:p w14:paraId="3CE8E463" w14:textId="77777777" w:rsidR="00132FA2" w:rsidRPr="00132FA2" w:rsidRDefault="00132FA2" w:rsidP="00132FA2">
      <w:pPr>
        <w:jc w:val="both"/>
        <w:outlineLvl w:val="2"/>
        <w:rPr>
          <w:rFonts w:ascii="Times New Roman" w:eastAsia="Times New Roman" w:hAnsi="Times New Roman" w:cs="Times New Roman"/>
          <w:b/>
          <w:bCs/>
          <w:color w:val="000000" w:themeColor="text1"/>
          <w:sz w:val="26"/>
          <w:szCs w:val="26"/>
        </w:rPr>
      </w:pPr>
      <w:r w:rsidRPr="00132FA2">
        <w:rPr>
          <w:rFonts w:ascii="Times New Roman" w:eastAsia="Times New Roman" w:hAnsi="Times New Roman" w:cs="Times New Roman"/>
          <w:b/>
          <w:bCs/>
          <w:color w:val="000000" w:themeColor="text1"/>
          <w:sz w:val="26"/>
          <w:szCs w:val="26"/>
        </w:rPr>
        <w:t>8. Hoàn thuế GTGT đối với thiết bị, máy móc, phương tiện vận tải chuyên dùng nằm trong dây chuyền công nghệ và vật tư xây dựng thuộc loại trong nước chưa sản xuất được cần nhập khẩu để tạo tài sản cố định của doanh nghiệp</w:t>
      </w:r>
    </w:p>
    <w:p w14:paraId="4D8E74F8"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8.1. Phạm vi áp dụng thực hiện theo hướng dẫn tại Điều 1 Thông tư số 92/2010/TT-BTC ngày 17/06/2010 của Bộ Tài Chính hướng dẫn thủ tục gia hạn nộp thuế và hoàn thuế GTGT đối với thiết bị, máy móc, phương tiện vận tải chuyên dùng nằm trong dây chuyền công nghệ và vật tư xây dựng thuộc loại trong nước chưa sản xuất được cần nhập khẩu để tạo tài sản cố định của doanh nghiệp. học báo cáo thuế</w:t>
      </w:r>
    </w:p>
    <w:p w14:paraId="6D2A211D"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Trường hợp cơ sở kinh doanh thành lập từ dự án đầu tư đang trong giai đoạn đầu tư nhưng chưa đi vào hoạt động, nếu có nhu cầu đề nghị hoàn thuế trước khi nộp thuế GTGT khâu nhập khẩu hàng hóa thì thực hiện lập hồ sơ đề nghị hoàn thuế GTGT riêng đối với hàng hóa nhập khẩu thuộc loại trong nước chưa sản xuất được nêu trên và kê khai vào hồ sơ khai thuế GTGT dành cho dự án đầu tư theo quy định.</w:t>
      </w:r>
    </w:p>
    <w:p w14:paraId="04453945"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Trường hợp cơ sở kinh doanh đang hoạt động thuộc đối tượng nộp thuế GTGT theo phương pháp khấu trừ có dự án đầu tư xây dựng dây chuyền sản xuất, đang trong giai đoạn đầu tư:</w:t>
      </w:r>
    </w:p>
    <w:p w14:paraId="6EB2B68C"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Đối với dự án đầu tư tại địa bàn cùng tỉnh, thành phố trực thuộc Trung ương nơi đóng trụ sở chính thì cơ sở kinh doanh phải kê khai bù trừ số thuế GTGT hàng hóa nhập khẩu thuộc loại trong nước chưa sản xuất được nếu trên cùng với việc kê khai thuế GTGT của hoạt động sản xuất kinh doanh đang thực hiện. Trường hợp sau khi bù trừ nếu có số thuế GTGT hàng hóa hóa nhập khẩu thuộc loại trong nước chưa sản xuất được nêu trên mà chưa được khấu trừ hết thì được hoàn thuế theo dự án đầu tư.</w:t>
      </w:r>
    </w:p>
    <w:p w14:paraId="591218B0"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Đối với dự án đầu tư tại địa bàn tỉnh, thành phố trực thuộc Trung ương khác với tỉnh, thành phố nơi đóng trụ sở chính, nếu có nhu cầu đề nghị hoàn thuế trước khi nộp thuế GTGT khâu nhập khẩu hàng hóa thì thực hiện lập hồ sơ đề nghị hoàn thuế GTGT riêng đối với hàng hóa nhập khẩu thuộc loại trong nước chưa sản xuất được nêu trên và kê khai vào hồ sơ khai thuế GTGT dành cho dự án đầu tư theo quy định.</w:t>
      </w:r>
    </w:p>
    <w:p w14:paraId="2649ED48"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b/>
          <w:bCs/>
          <w:color w:val="000000" w:themeColor="text1"/>
          <w:sz w:val="26"/>
          <w:szCs w:val="26"/>
        </w:rPr>
        <w:t>8.2. Hồ sơ hoàn thuế</w:t>
      </w:r>
    </w:p>
    <w:p w14:paraId="7D20B8B9"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xml:space="preserve">- Giấy đề nghị hoàn trả khoản thu Ngân sách nhà nước theo mẫu số 01/ĐHNT ban hành kèm theo Thông tư 156, trong đó ghi rõ số thuế GTGT hàng nhập khẩu của thiết bị, máy </w:t>
      </w:r>
      <w:r w:rsidRPr="00132FA2">
        <w:rPr>
          <w:rFonts w:ascii="Times New Roman" w:eastAsia="Times New Roman" w:hAnsi="Times New Roman" w:cs="Times New Roman"/>
          <w:color w:val="000000" w:themeColor="text1"/>
          <w:sz w:val="26"/>
          <w:szCs w:val="26"/>
        </w:rPr>
        <w:lastRenderedPageBreak/>
        <w:t>móc, phương tiện vận tải chuyên dùng nằm trong dây chuyền công nghệ và vật tư xây dựng thuộc loại trong nước chưa sản xuất được cần nhập khẩu để tạo tài sản cố định của doanh nghiệp và cam kết của doanh nghiệp.</w:t>
      </w:r>
    </w:p>
    <w:p w14:paraId="6B5B7BAE" w14:textId="77777777" w:rsidR="00132FA2" w:rsidRPr="00132FA2" w:rsidRDefault="00132FA2" w:rsidP="00132FA2">
      <w:pPr>
        <w:jc w:val="both"/>
        <w:rPr>
          <w:rFonts w:ascii="Times New Roman" w:eastAsia="Times New Roman" w:hAnsi="Times New Roman" w:cs="Times New Roman"/>
          <w:color w:val="000000" w:themeColor="text1"/>
          <w:sz w:val="26"/>
          <w:szCs w:val="26"/>
        </w:rPr>
      </w:pPr>
      <w:r w:rsidRPr="00132FA2">
        <w:rPr>
          <w:rFonts w:ascii="Times New Roman" w:eastAsia="Times New Roman" w:hAnsi="Times New Roman" w:cs="Times New Roman"/>
          <w:color w:val="000000" w:themeColor="text1"/>
          <w:sz w:val="26"/>
          <w:szCs w:val="26"/>
        </w:rPr>
        <w:t>- Bảng kê hồ sơ hàng hóa nhập khẩu theo mẫu số 01-4/ĐHNT ban hành kèm theo Thông tư 156.</w:t>
      </w:r>
    </w:p>
    <w:p w14:paraId="1F833283" w14:textId="79744A96" w:rsidR="00132FA2" w:rsidRPr="00132FA2" w:rsidRDefault="00132FA2" w:rsidP="00132FA2">
      <w:pPr>
        <w:jc w:val="right"/>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Nguyễn</w:t>
      </w:r>
      <w:r>
        <w:rPr>
          <w:rFonts w:ascii="Times New Roman" w:hAnsi="Times New Roman" w:cs="Times New Roman"/>
          <w:color w:val="000000" w:themeColor="text1"/>
          <w:sz w:val="26"/>
          <w:szCs w:val="26"/>
          <w:lang w:val="vi-VN"/>
        </w:rPr>
        <w:t xml:space="preserve"> Thị Đoan Trang</w:t>
      </w:r>
    </w:p>
    <w:sectPr w:rsidR="00132FA2" w:rsidRPr="00132F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D6"/>
    <w:multiLevelType w:val="multilevel"/>
    <w:tmpl w:val="17C2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E1101"/>
    <w:multiLevelType w:val="multilevel"/>
    <w:tmpl w:val="17C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C3191"/>
    <w:multiLevelType w:val="multilevel"/>
    <w:tmpl w:val="9B9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9683F"/>
    <w:multiLevelType w:val="multilevel"/>
    <w:tmpl w:val="10F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22CE0"/>
    <w:multiLevelType w:val="multilevel"/>
    <w:tmpl w:val="8AD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B3825"/>
    <w:multiLevelType w:val="multilevel"/>
    <w:tmpl w:val="32A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2774C"/>
    <w:multiLevelType w:val="multilevel"/>
    <w:tmpl w:val="F28C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C45A1"/>
    <w:multiLevelType w:val="multilevel"/>
    <w:tmpl w:val="02E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A2"/>
    <w:rsid w:val="000E5CEE"/>
    <w:rsid w:val="00132F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6C37"/>
  <w15:chartTrackingRefBased/>
  <w15:docId w15:val="{2A83963D-CFE6-3C4A-B510-CA37688D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2FA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2FA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2FA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32FA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2F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2F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32FA2"/>
    <w:rPr>
      <w:rFonts w:ascii="Times New Roman" w:eastAsia="Times New Roman" w:hAnsi="Times New Roman" w:cs="Times New Roman"/>
      <w:b/>
      <w:bCs/>
    </w:rPr>
  </w:style>
  <w:style w:type="character" w:customStyle="1" w:styleId="at-label">
    <w:name w:val="at-label"/>
    <w:basedOn w:val="DefaultParagraphFont"/>
    <w:rsid w:val="00132FA2"/>
  </w:style>
  <w:style w:type="paragraph" w:styleId="NormalWeb">
    <w:name w:val="Normal (Web)"/>
    <w:basedOn w:val="Normal"/>
    <w:uiPriority w:val="99"/>
    <w:semiHidden/>
    <w:unhideWhenUsed/>
    <w:rsid w:val="00132FA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32FA2"/>
  </w:style>
  <w:style w:type="character" w:styleId="Strong">
    <w:name w:val="Strong"/>
    <w:basedOn w:val="DefaultParagraphFont"/>
    <w:uiPriority w:val="22"/>
    <w:qFormat/>
    <w:rsid w:val="00132FA2"/>
    <w:rPr>
      <w:b/>
      <w:bCs/>
    </w:rPr>
  </w:style>
  <w:style w:type="character" w:styleId="Hyperlink">
    <w:name w:val="Hyperlink"/>
    <w:basedOn w:val="DefaultParagraphFont"/>
    <w:uiPriority w:val="99"/>
    <w:semiHidden/>
    <w:unhideWhenUsed/>
    <w:rsid w:val="00132FA2"/>
    <w:rPr>
      <w:color w:val="0000FF"/>
      <w:u w:val="single"/>
    </w:rPr>
  </w:style>
  <w:style w:type="character" w:styleId="Emphasis">
    <w:name w:val="Emphasis"/>
    <w:basedOn w:val="DefaultParagraphFont"/>
    <w:uiPriority w:val="20"/>
    <w:qFormat/>
    <w:rsid w:val="00132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4990">
      <w:bodyDiv w:val="1"/>
      <w:marLeft w:val="0"/>
      <w:marRight w:val="0"/>
      <w:marTop w:val="0"/>
      <w:marBottom w:val="0"/>
      <w:divBdr>
        <w:top w:val="none" w:sz="0" w:space="0" w:color="auto"/>
        <w:left w:val="none" w:sz="0" w:space="0" w:color="auto"/>
        <w:bottom w:val="none" w:sz="0" w:space="0" w:color="auto"/>
        <w:right w:val="none" w:sz="0" w:space="0" w:color="auto"/>
      </w:divBdr>
      <w:divsChild>
        <w:div w:id="2016957683">
          <w:marLeft w:val="0"/>
          <w:marRight w:val="0"/>
          <w:marTop w:val="0"/>
          <w:marBottom w:val="0"/>
          <w:divBdr>
            <w:top w:val="none" w:sz="0" w:space="0" w:color="auto"/>
            <w:left w:val="none" w:sz="0" w:space="0" w:color="auto"/>
            <w:bottom w:val="none" w:sz="0" w:space="0" w:color="auto"/>
            <w:right w:val="none" w:sz="0" w:space="0" w:color="auto"/>
          </w:divBdr>
          <w:divsChild>
            <w:div w:id="1829050796">
              <w:marLeft w:val="0"/>
              <w:marRight w:val="0"/>
              <w:marTop w:val="0"/>
              <w:marBottom w:val="0"/>
              <w:divBdr>
                <w:top w:val="single" w:sz="6" w:space="4" w:color="CCCCCC"/>
                <w:left w:val="none" w:sz="0" w:space="0" w:color="auto"/>
                <w:bottom w:val="single" w:sz="6" w:space="4" w:color="CCCCCC"/>
                <w:right w:val="none" w:sz="0" w:space="0" w:color="auto"/>
              </w:divBdr>
              <w:divsChild>
                <w:div w:id="404835587">
                  <w:marLeft w:val="0"/>
                  <w:marRight w:val="0"/>
                  <w:marTop w:val="0"/>
                  <w:marBottom w:val="0"/>
                  <w:divBdr>
                    <w:top w:val="none" w:sz="0" w:space="0" w:color="auto"/>
                    <w:left w:val="none" w:sz="0" w:space="0" w:color="auto"/>
                    <w:bottom w:val="none" w:sz="0" w:space="0" w:color="auto"/>
                    <w:right w:val="none" w:sz="0" w:space="0" w:color="auto"/>
                  </w:divBdr>
                  <w:divsChild>
                    <w:div w:id="56823362">
                      <w:marLeft w:val="0"/>
                      <w:marRight w:val="0"/>
                      <w:marTop w:val="0"/>
                      <w:marBottom w:val="0"/>
                      <w:divBdr>
                        <w:top w:val="none" w:sz="0" w:space="0" w:color="auto"/>
                        <w:left w:val="none" w:sz="0" w:space="0" w:color="auto"/>
                        <w:bottom w:val="none" w:sz="0" w:space="0" w:color="auto"/>
                        <w:right w:val="none" w:sz="0" w:space="0" w:color="auto"/>
                      </w:divBdr>
                      <w:divsChild>
                        <w:div w:id="3601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9509">
                  <w:marLeft w:val="0"/>
                  <w:marRight w:val="0"/>
                  <w:marTop w:val="0"/>
                  <w:marBottom w:val="0"/>
                  <w:divBdr>
                    <w:top w:val="none" w:sz="0" w:space="0" w:color="auto"/>
                    <w:left w:val="none" w:sz="0" w:space="0" w:color="auto"/>
                    <w:bottom w:val="none" w:sz="0" w:space="0" w:color="auto"/>
                    <w:right w:val="none" w:sz="0" w:space="0" w:color="auto"/>
                  </w:divBdr>
                  <w:divsChild>
                    <w:div w:id="13768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580">
          <w:marLeft w:val="0"/>
          <w:marRight w:val="0"/>
          <w:marTop w:val="150"/>
          <w:marBottom w:val="300"/>
          <w:divBdr>
            <w:top w:val="none" w:sz="0" w:space="0" w:color="auto"/>
            <w:left w:val="none" w:sz="0" w:space="0" w:color="auto"/>
            <w:bottom w:val="none" w:sz="0" w:space="0" w:color="auto"/>
            <w:right w:val="none" w:sz="0" w:space="0" w:color="auto"/>
          </w:divBdr>
          <w:divsChild>
            <w:div w:id="2104104967">
              <w:blockQuote w:val="1"/>
              <w:marLeft w:val="300"/>
              <w:marRight w:val="300"/>
              <w:marTop w:val="0"/>
              <w:marBottom w:val="0"/>
              <w:divBdr>
                <w:top w:val="none" w:sz="0" w:space="0" w:color="auto"/>
                <w:left w:val="single" w:sz="36" w:space="8" w:color="D71F27"/>
                <w:bottom w:val="none" w:sz="0" w:space="0" w:color="auto"/>
                <w:right w:val="none" w:sz="0" w:space="0" w:color="auto"/>
              </w:divBdr>
            </w:div>
            <w:div w:id="1715038930">
              <w:marLeft w:val="0"/>
              <w:marRight w:val="0"/>
              <w:marTop w:val="0"/>
              <w:marBottom w:val="150"/>
              <w:divBdr>
                <w:top w:val="none" w:sz="0" w:space="0" w:color="auto"/>
                <w:left w:val="none" w:sz="0" w:space="0" w:color="auto"/>
                <w:bottom w:val="none" w:sz="0" w:space="0" w:color="auto"/>
                <w:right w:val="none" w:sz="0" w:space="0" w:color="auto"/>
              </w:divBdr>
            </w:div>
            <w:div w:id="436214868">
              <w:blockQuote w:val="1"/>
              <w:marLeft w:val="300"/>
              <w:marRight w:val="300"/>
              <w:marTop w:val="0"/>
              <w:marBottom w:val="0"/>
              <w:divBdr>
                <w:top w:val="none" w:sz="0" w:space="0" w:color="auto"/>
                <w:left w:val="single" w:sz="36" w:space="8" w:color="D71F27"/>
                <w:bottom w:val="none" w:sz="0" w:space="0" w:color="auto"/>
                <w:right w:val="none" w:sz="0" w:space="0" w:color="auto"/>
              </w:divBdr>
            </w:div>
            <w:div w:id="1288780000">
              <w:marLeft w:val="0"/>
              <w:marRight w:val="0"/>
              <w:marTop w:val="0"/>
              <w:marBottom w:val="150"/>
              <w:divBdr>
                <w:top w:val="none" w:sz="0" w:space="0" w:color="auto"/>
                <w:left w:val="none" w:sz="0" w:space="0" w:color="auto"/>
                <w:bottom w:val="none" w:sz="0" w:space="0" w:color="auto"/>
                <w:right w:val="none" w:sz="0" w:space="0" w:color="auto"/>
              </w:divBdr>
            </w:div>
            <w:div w:id="1242257063">
              <w:blockQuote w:val="1"/>
              <w:marLeft w:val="300"/>
              <w:marRight w:val="300"/>
              <w:marTop w:val="0"/>
              <w:marBottom w:val="0"/>
              <w:divBdr>
                <w:top w:val="none" w:sz="0" w:space="0" w:color="auto"/>
                <w:left w:val="single" w:sz="36" w:space="8" w:color="D71F27"/>
                <w:bottom w:val="none" w:sz="0" w:space="0" w:color="auto"/>
                <w:right w:val="none" w:sz="0" w:space="0" w:color="auto"/>
              </w:divBdr>
            </w:div>
            <w:div w:id="1606814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toanleanh.edu.vn/kinh-nghiem-ke-toan/hoan-thue-gtgt-doi-voi-du-an-dau-t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oanleanh.edu.vn/kinh-nghiem-ke-toan/hoan-thue-gtgt-doi-voi-du-an-dau-tu.html" TargetMode="External"/><Relationship Id="rId5" Type="http://schemas.openxmlformats.org/officeDocument/2006/relationships/hyperlink" Target="https://ketoanleanh.edu.vn/kinh-nghiem-ke-toan/phuong-phap-tinh-thue-gia-tri-gia-tang-phai-nop-theo-phuong-phap-khau-tru.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2022-06-16T02:16:00Z</dcterms:created>
  <dcterms:modified xsi:type="dcterms:W3CDTF">2022-06-16T02:16:00Z</dcterms:modified>
</cp:coreProperties>
</file>