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9593" w14:textId="77777777" w:rsidR="00862F2D" w:rsidRDefault="00862F2D" w:rsidP="00862F2D">
      <w:pPr>
        <w:shd w:val="clear" w:color="auto" w:fill="FFFFFF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</w:pPr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 xml:space="preserve">06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>nguyên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>tắc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>vàng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>kê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>bổ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 xml:space="preserve"> sung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>điều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>chỉnh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14:ligatures w14:val="none"/>
        </w:rPr>
        <w:t xml:space="preserve"> GTGT</w:t>
      </w:r>
    </w:p>
    <w:p w14:paraId="2CB2E3E9" w14:textId="233CCD73" w:rsidR="00862F2D" w:rsidRPr="00862F2D" w:rsidRDefault="00862F2D" w:rsidP="00862F2D">
      <w:pPr>
        <w:shd w:val="clear" w:color="auto" w:fill="FFFFFF"/>
        <w:spacing w:after="225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14:ligatures w14:val="none"/>
        </w:rPr>
      </w:pPr>
      <w:r w:rsidRPr="00862F2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14:ligatures w14:val="none"/>
        </w:rPr>
        <w:tab/>
      </w:r>
      <w:r w:rsidRPr="00862F2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14:ligatures w14:val="none"/>
        </w:rPr>
        <w:tab/>
      </w:r>
      <w:r w:rsidRPr="00862F2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14:ligatures w14:val="none"/>
        </w:rPr>
        <w:tab/>
      </w:r>
      <w:r w:rsidRPr="00862F2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14:ligatures w14:val="none"/>
        </w:rPr>
        <w:tab/>
      </w:r>
      <w:r w:rsidRPr="00862F2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14:ligatures w14:val="none"/>
        </w:rPr>
        <w:tab/>
      </w:r>
      <w:r w:rsidRPr="00862F2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14:ligatures w14:val="none"/>
        </w:rPr>
        <w:tab/>
        <w:t>Th. Ngô Thị Kiều Trang</w:t>
      </w:r>
    </w:p>
    <w:p w14:paraId="69973F7D" w14:textId="77777777" w:rsidR="00862F2D" w:rsidRDefault="00862F2D" w:rsidP="00862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</w:pPr>
    </w:p>
    <w:p w14:paraId="789BE9F6" w14:textId="6EA2760A" w:rsidR="00862F2D" w:rsidRPr="00862F2D" w:rsidRDefault="00862F2D" w:rsidP="00862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</w:pP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Hồ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sơ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kê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bổ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sung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điều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chỉnh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GTGT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được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nộp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cho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cơ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quan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vào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bất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cứ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ngày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làm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việc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nào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không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phụ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thuộc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vào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thời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hạn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nộp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hồ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sơ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của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lần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tiếp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theo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nhưng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phải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trước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khi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cơ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quan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thanh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kiểm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tra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.</w:t>
      </w:r>
    </w:p>
    <w:p w14:paraId="4577E17B" w14:textId="02E6D453" w:rsidR="00862F2D" w:rsidRDefault="00862F2D" w:rsidP="00862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 Trong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công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tác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kế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toán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việc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sót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trong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kê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Giá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trị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gia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tăng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là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điều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không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thể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tránh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khỏi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.  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có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rất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nhiều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kế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toán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lúng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túng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trong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việc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kê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bổ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sung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điều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chỉnh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GTGT,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nhất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là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các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bạn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kế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toán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viên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mới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ra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trường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kinh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nghiệm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còn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non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trẻ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. 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Tôi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xin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hướng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dẫn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6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nguyên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tắc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kê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bổ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sung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điều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chỉnh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GTGT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mới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nhất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cho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các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bạn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.</w:t>
      </w:r>
    </w:p>
    <w:p w14:paraId="0C83D9CE" w14:textId="77777777" w:rsidR="00862F2D" w:rsidRDefault="00862F2D" w:rsidP="00862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</w:pPr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br/>
      </w:r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1. Sai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đâu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sửa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đo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́</w:t>
      </w:r>
    </w:p>
    <w:p w14:paraId="7C68FB3E" w14:textId="77777777" w:rsidR="00AF103D" w:rsidRDefault="00862F2D" w:rsidP="00862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</w:pPr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Sai ở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tháng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nào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(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quý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nào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)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thì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quay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lại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đúng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tháng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đó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(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quý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đó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)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kê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bổ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sung. Sai ở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chỉ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tiêu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nào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tìm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đến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đúng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chỉ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tiêu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đó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sửa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chỉ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tiêu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đó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về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số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liệu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đúng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. </w:t>
      </w:r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br/>
      </w:r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(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Nếu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tháng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đó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trong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phần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mềm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HTKK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chưa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có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số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liệu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các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bạn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sẽ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phải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nhập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lại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số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liệu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vào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HTKK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bằng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cách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tìm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lại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bản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gốc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của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kỳ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sai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sót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=&gt;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Mở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HTKK =&gt;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chọn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tờ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GTGT =&gt;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chọn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tháng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(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quý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)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sai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sót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=&gt;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Tờ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lần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đầu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(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không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chọn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phụ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lục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) =&gt;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nhập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lại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số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liệu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từ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bản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tờ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gốc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vào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HTKK =&gt;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Ghi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 xml:space="preserve"> =&gt;</w:t>
      </w:r>
      <w:proofErr w:type="spellStart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Đóng</w:t>
      </w:r>
      <w:proofErr w:type="spellEnd"/>
      <w:r w:rsidRPr="00862F2D">
        <w:rPr>
          <w:rFonts w:ascii="Times New Roman" w:eastAsia="Times New Roman" w:hAnsi="Times New Roman" w:cs="Times New Roman"/>
          <w:i/>
          <w:iCs/>
          <w:color w:val="333333"/>
          <w:kern w:val="0"/>
          <w:sz w:val="26"/>
          <w:szCs w:val="26"/>
          <w14:ligatures w14:val="none"/>
        </w:rPr>
        <w:t>)</w:t>
      </w:r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. Sau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đó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mới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thực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hiện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được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Khai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bổ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sung.</w:t>
      </w:r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br/>
      </w:r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br/>
      </w:r>
      <w:r w:rsidRPr="00862F2D">
        <w:rPr>
          <w:rFonts w:ascii="Times New Roman" w:eastAsia="Times New Roman" w:hAnsi="Times New Roman" w:cs="Times New Roman"/>
          <w:noProof/>
          <w:color w:val="333333"/>
          <w:kern w:val="0"/>
          <w:sz w:val="26"/>
          <w:szCs w:val="26"/>
          <w14:ligatures w14:val="none"/>
        </w:rPr>
        <w:drawing>
          <wp:inline distT="0" distB="0" distL="0" distR="0" wp14:anchorId="2ED39E38" wp14:editId="40BF831F">
            <wp:extent cx="5943600" cy="3354705"/>
            <wp:effectExtent l="0" t="0" r="0" b="0"/>
            <wp:docPr id="1339597170" name="Picture 1" descr="kê khai bổ sung điều chỉnh tờ khai thuế GT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ê khai bổ sung điều chỉnh tờ khai thuế GTG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br/>
      </w:r>
    </w:p>
    <w:p w14:paraId="02284730" w14:textId="3C394716" w:rsidR="00862F2D" w:rsidRDefault="00862F2D" w:rsidP="00862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</w:pPr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lastRenderedPageBreak/>
        <w:t xml:space="preserve">2.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Không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phải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cư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́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bô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̉ sung là bị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phạt</w:t>
      </w:r>
      <w:proofErr w:type="spellEnd"/>
    </w:p>
    <w:p w14:paraId="769CA417" w14:textId="77777777" w:rsidR="00862F2D" w:rsidRDefault="00862F2D" w:rsidP="00862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br/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Chỉ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những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sót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làm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tăng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số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phải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nộp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mới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bị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phạt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chậm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nộp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.</w:t>
      </w:r>
    </w:p>
    <w:p w14:paraId="4D382B14" w14:textId="7ED96FA2" w:rsidR="00862F2D" w:rsidRDefault="00862F2D" w:rsidP="00862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</w:pPr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br/>
      </w:r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3.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Không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phải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cư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́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bô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̉ sung là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điều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chỉnh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vào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chỉ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tiêu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37, 38</w:t>
      </w:r>
    </w:p>
    <w:p w14:paraId="7AB00B89" w14:textId="77777777" w:rsidR="00862F2D" w:rsidRDefault="00862F2D" w:rsidP="00862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br/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Chỉ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những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sót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làm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ảnh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hưởng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đến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số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VAT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được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khấu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trừ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mới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điều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chỉnh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vào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chỉ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tiêu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37,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hoặc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38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tại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tờ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GTGT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của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kỳ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hiện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tại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(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kỳ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bạn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phát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hiện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ra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sót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)</w:t>
      </w:r>
    </w:p>
    <w:p w14:paraId="03D6252A" w14:textId="495C72E1" w:rsidR="00862F2D" w:rsidRDefault="00862F2D" w:rsidP="00862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</w:pPr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br/>
      </w:r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4.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Không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phải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cư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́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quên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không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kê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là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bô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̉ sung</w:t>
      </w:r>
    </w:p>
    <w:p w14:paraId="6EBF72DC" w14:textId="77777777" w:rsidR="00862F2D" w:rsidRDefault="00862F2D" w:rsidP="00862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br/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Bạn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chỉ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phải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bổ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sung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quên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không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kê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hóa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đơn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đầu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ra.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Còn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nếu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quên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không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kê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hóa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đơn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đầu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vào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bạn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có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thể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trực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tiếp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vào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kỳ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hiện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tại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không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bị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khống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chế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thời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hạn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kê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. </w:t>
      </w:r>
    </w:p>
    <w:p w14:paraId="26D2DA2A" w14:textId="77777777" w:rsidR="00862F2D" w:rsidRDefault="00862F2D" w:rsidP="00862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</w:pPr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br/>
      </w:r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5.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Lấy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sô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́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liệu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ky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̀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kê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tiếp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theo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tại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sô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́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liệu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của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tơ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̀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bô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̉ sung</w:t>
      </w:r>
    </w:p>
    <w:p w14:paraId="12C065C0" w14:textId="77777777" w:rsidR="00862F2D" w:rsidRDefault="00862F2D" w:rsidP="00862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br/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Giả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sử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quý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1/2015,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bạn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có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số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GTGT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còn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được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khấu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trừ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chuyển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kỳ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sau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là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100tr.</w:t>
      </w:r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br/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Nhưng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bạn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đã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bạn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đã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làm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tờ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bổ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sung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lần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1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vào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ngày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20/05.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Số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còn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được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khấu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trừ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chuyển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kỳ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sau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là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80tr,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giảm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20tr so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với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lần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đầu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.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Tại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kỳ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kê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quý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2/2015,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chỉ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tiêu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22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bạn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điền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số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liệu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là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80tr (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số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liệu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của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tờ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bổ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sung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lần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1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chuyển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sang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chứ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không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phải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số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liệu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của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tờ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lần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đầu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chuyển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sang). Trong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trường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hợp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này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số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liệu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tại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chỉ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tiêu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22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tại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kỳ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quý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2/2015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vẫn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phải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là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100tr (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Số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thuế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còn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được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khấu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trừ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kỳ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trước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chuyển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sang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tại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tờ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lần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đầu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),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phần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chênh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lên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là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20tr,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bạn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điều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chỉnh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vào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chỉ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tiêu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37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của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quý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2/2015. </w:t>
      </w:r>
    </w:p>
    <w:p w14:paraId="43129556" w14:textId="77777777" w:rsidR="00862F2D" w:rsidRDefault="00862F2D" w:rsidP="00862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</w:pPr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br/>
      </w:r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6.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Ghi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phần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ly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́ do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tại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bảng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bô</w:t>
      </w:r>
      <w:proofErr w:type="spellEnd"/>
      <w:r w:rsidRPr="00862F2D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̉ sung</w:t>
      </w:r>
    </w:p>
    <w:p w14:paraId="106B801A" w14:textId="7A0C407B" w:rsidR="00862F2D" w:rsidRPr="00862F2D" w:rsidRDefault="00862F2D" w:rsidP="00862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br/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Nhớ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ghi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cả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phần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lý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do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dẫn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tới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kê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tại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phần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giải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trình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bổ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sung,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điều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chỉnh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nữa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nhé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các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bạn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để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nắm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được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là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tại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sao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lại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làm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tờ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khai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bổ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sung </w:t>
      </w:r>
      <w:proofErr w:type="spellStart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này</w:t>
      </w:r>
      <w:proofErr w:type="spellEnd"/>
      <w:r w:rsidRPr="00862F2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.</w:t>
      </w:r>
    </w:p>
    <w:p w14:paraId="4D51BC3D" w14:textId="77777777" w:rsidR="00135046" w:rsidRPr="00862F2D" w:rsidRDefault="00135046" w:rsidP="00862F2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D219A1C" w14:textId="77777777" w:rsidR="00862F2D" w:rsidRPr="00862F2D" w:rsidRDefault="00862F2D" w:rsidP="00862F2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2F2D">
        <w:rPr>
          <w:rFonts w:ascii="Times New Roman" w:hAnsi="Times New Roman" w:cs="Times New Roman"/>
          <w:b/>
          <w:bCs/>
          <w:sz w:val="26"/>
          <w:szCs w:val="26"/>
        </w:rPr>
        <w:t>TÀI LIỆU THAM KHẢO</w:t>
      </w:r>
    </w:p>
    <w:p w14:paraId="254E4157" w14:textId="24070A44" w:rsidR="00862F2D" w:rsidRPr="00862F2D" w:rsidRDefault="00862F2D" w:rsidP="00862F2D">
      <w:pPr>
        <w:jc w:val="both"/>
        <w:rPr>
          <w:rFonts w:ascii="Times New Roman" w:hAnsi="Times New Roman" w:cs="Times New Roman"/>
          <w:sz w:val="26"/>
          <w:szCs w:val="26"/>
        </w:rPr>
      </w:pPr>
      <w:r w:rsidRPr="00862F2D">
        <w:rPr>
          <w:rFonts w:ascii="Times New Roman" w:hAnsi="Times New Roman" w:cs="Times New Roman"/>
          <w:sz w:val="26"/>
          <w:szCs w:val="26"/>
        </w:rPr>
        <w:t>http://luatsubacninh.com/ke-khai-thue-hang-thang/06-nguyen-tac-vang-ke-khai-bo-sung-dieu-chinh-thue-gtgt/18222</w:t>
      </w:r>
    </w:p>
    <w:sectPr w:rsidR="00862F2D" w:rsidRPr="00862F2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AD2F9" w14:textId="77777777" w:rsidR="00F74B4D" w:rsidRDefault="00F74B4D" w:rsidP="00AF103D">
      <w:pPr>
        <w:spacing w:after="0" w:line="240" w:lineRule="auto"/>
      </w:pPr>
      <w:r>
        <w:separator/>
      </w:r>
    </w:p>
  </w:endnote>
  <w:endnote w:type="continuationSeparator" w:id="0">
    <w:p w14:paraId="4F729135" w14:textId="77777777" w:rsidR="00F74B4D" w:rsidRDefault="00F74B4D" w:rsidP="00AF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995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57178" w14:textId="5CB6D782" w:rsidR="00AF103D" w:rsidRDefault="00AF10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B0E2C3" w14:textId="77777777" w:rsidR="00AF103D" w:rsidRDefault="00AF1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C90D7" w14:textId="77777777" w:rsidR="00F74B4D" w:rsidRDefault="00F74B4D" w:rsidP="00AF103D">
      <w:pPr>
        <w:spacing w:after="0" w:line="240" w:lineRule="auto"/>
      </w:pPr>
      <w:r>
        <w:separator/>
      </w:r>
    </w:p>
  </w:footnote>
  <w:footnote w:type="continuationSeparator" w:id="0">
    <w:p w14:paraId="6C41B817" w14:textId="77777777" w:rsidR="00F74B4D" w:rsidRDefault="00F74B4D" w:rsidP="00AF1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2D"/>
    <w:rsid w:val="00135046"/>
    <w:rsid w:val="00862F2D"/>
    <w:rsid w:val="00A47B8B"/>
    <w:rsid w:val="00AF103D"/>
    <w:rsid w:val="00DF15C9"/>
    <w:rsid w:val="00F7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041A5"/>
  <w15:chartTrackingRefBased/>
  <w15:docId w15:val="{2F044B3A-E13B-428A-864B-82B3D8EB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2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F2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Strong">
    <w:name w:val="Strong"/>
    <w:basedOn w:val="DefaultParagraphFont"/>
    <w:uiPriority w:val="22"/>
    <w:qFormat/>
    <w:rsid w:val="00862F2D"/>
    <w:rPr>
      <w:b/>
      <w:bCs/>
    </w:rPr>
  </w:style>
  <w:style w:type="character" w:styleId="Emphasis">
    <w:name w:val="Emphasis"/>
    <w:basedOn w:val="DefaultParagraphFont"/>
    <w:uiPriority w:val="20"/>
    <w:qFormat/>
    <w:rsid w:val="00862F2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F1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03D"/>
  </w:style>
  <w:style w:type="paragraph" w:styleId="Footer">
    <w:name w:val="footer"/>
    <w:basedOn w:val="Normal"/>
    <w:link w:val="FooterChar"/>
    <w:uiPriority w:val="99"/>
    <w:unhideWhenUsed/>
    <w:rsid w:val="00AF1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9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9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3</cp:revision>
  <dcterms:created xsi:type="dcterms:W3CDTF">2023-08-16T02:25:00Z</dcterms:created>
  <dcterms:modified xsi:type="dcterms:W3CDTF">2023-08-16T02:37:00Z</dcterms:modified>
</cp:coreProperties>
</file>