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A3B0" w14:textId="3D77FD43" w:rsidR="00913FBB" w:rsidRDefault="00913FBB" w:rsidP="00913FBB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Những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điểm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proofErr w:type="gram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mới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trong</w:t>
      </w:r>
      <w:proofErr w:type="spellEnd"/>
      <w:proofErr w:type="gram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2023 </w:t>
      </w:r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vi-VN"/>
          <w14:ligatures w14:val="none"/>
        </w:rPr>
        <w:t xml:space="preserve">đối với Thuế suất thuế GTGT; Thời gian nộp thuế TNDN tạm tính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mà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Kế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toán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cần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phải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>lưu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 xml:space="preserve"> ý</w:t>
      </w:r>
    </w:p>
    <w:p w14:paraId="752CA484" w14:textId="0848454B" w:rsidR="00913FBB" w:rsidRPr="00913FBB" w:rsidRDefault="00913FBB" w:rsidP="00913FBB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vi-VN"/>
          <w14:ligatures w14:val="none"/>
        </w:rPr>
        <w:t>Ngô Thị Kiều Trang</w:t>
      </w:r>
    </w:p>
    <w:p w14:paraId="47181079" w14:textId="77777777" w:rsidR="00913FBB" w:rsidRPr="00913FBB" w:rsidRDefault="00913FBB" w:rsidP="00913FBB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14:ligatures w14:val="none"/>
        </w:rPr>
      </w:pPr>
    </w:p>
    <w:p w14:paraId="7F1516CE" w14:textId="11725087" w:rsidR="00913FBB" w:rsidRPr="00913FBB" w:rsidRDefault="00913FBB" w:rsidP="00913FBB">
      <w:pPr>
        <w:spacing w:after="100" w:afterAutospacing="1" w:line="255" w:lineRule="atLeast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1.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GTGT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nhiều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quay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về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mốc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cũ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10%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đúng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không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?</w:t>
      </w:r>
    </w:p>
    <w:p w14:paraId="6718DB17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1.1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"https://thuvienphapluat.vn/van-ban/Thuong-mai/Nghi-quyet-43-2022-QH15-chinh-sach-tai-khoa-tien-te-phuc-hoi-phat-trien-kinh-te-xa-hoi-500776.aspx" \t "_blank" </w:instrTex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43/2022/QH15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3F99DDBE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hỗ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trợ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Chương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trình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phục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hồi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và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phát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triển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kinh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-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xã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hội</w:t>
      </w:r>
      <w:proofErr w:type="spellEnd"/>
    </w:p>
    <w:p w14:paraId="0CDC9A71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1.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tài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khóa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:</w:t>
      </w:r>
    </w:p>
    <w:p w14:paraId="061DA16B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1.1.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miễn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giảm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:</w:t>
      </w:r>
    </w:p>
    <w:p w14:paraId="39C63A79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a)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Giảm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2%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suất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trị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tăng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2022,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áp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dụng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các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nhóm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đang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áp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dụng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mức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suất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trị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tăng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10% (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còn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8%),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trừ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một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số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nhóm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: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viễn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công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nghệ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tin,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hoạt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động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tài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ngân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chứng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khoán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bảo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hiểm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kinh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động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kim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loại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phẩm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kim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loại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đúc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sẵn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phẩm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khoáng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(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không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kể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thác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than), than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cốc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mỏ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tinh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phẩm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hoá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phẩm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chịu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tiêu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thụ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đặc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biệt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;</w:t>
      </w:r>
    </w:p>
    <w:p w14:paraId="04BDFB11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b) Cho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phép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vào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chi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phí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trừ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xác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chịu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khoản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chi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ủng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hộ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tài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trợ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tổ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chức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các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hoạt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động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phòng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chống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COVID-19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tại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Việt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Nam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kỳ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2022.</w:t>
      </w:r>
    </w:p>
    <w:p w14:paraId="07557D1E" w14:textId="77777777" w:rsidR="00913FBB" w:rsidRPr="00913FBB" w:rsidRDefault="00913FBB" w:rsidP="00913FBB">
      <w:pPr>
        <w:spacing w:before="375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2022 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"https://thuvienphapluat.vn/van-ban/Thuong-mai/Nghi-quyet-43-2022-QH15-chinh-sach-tai-khoa-tien-te-phuc-hoi-phat-trien-kinh-te-xa-hoi-500776.aspx" \t "_blank" </w:instrTex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43/2022/QH15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10%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xuống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8%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áp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dụng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hình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75AD9561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hướng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dẫn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bởi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"https://thuvienphapluat.vn/van-ban/Thuong-mai/Nghi-dinh-15-2022-ND-CP-mien-giam-thue-theo-Nghi-quyet-43-2022-QH15-chinh-sach-tai-khoa-501143.aspx" \t "_blank" </w:instrTex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15/2022/NĐ-CP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1F488DE5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hết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lực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kể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01/01/2023.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31/12/2022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giảm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còn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8%.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Kể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01/01/2023,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trở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mức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suất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10%.</w:t>
      </w:r>
    </w:p>
    <w:p w14:paraId="3D785425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ý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GTGT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dịch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quay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mốc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10%.</w:t>
      </w:r>
    </w:p>
    <w:p w14:paraId="2F1304C5" w14:textId="22122035" w:rsidR="00913FBB" w:rsidRPr="00913FBB" w:rsidRDefault="00913FBB" w:rsidP="00913FBB">
      <w:pPr>
        <w:spacing w:after="100" w:afterAutospacing="1" w:line="255" w:lineRule="atLeast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2.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gian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2023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nào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?</w:t>
      </w:r>
    </w:p>
    <w:p w14:paraId="07AAD701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55 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"https://thuvienphapluat.vn/van-ban/Thue-Phi-Le-Phi/Luat-quan-ly-thue-2019-387595.aspx?anchor=dieu_55" \t "_blank" </w:instrTex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Luật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2019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4007083F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lastRenderedPageBreak/>
        <w:t>Thời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</w:p>
    <w:p w14:paraId="68D42C48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1.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Trường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hợp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người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cùng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Trường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hợp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bổ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sung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kỳ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có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sót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</w:t>
      </w:r>
    </w:p>
    <w:p w14:paraId="2EB3A65E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thì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30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tháng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</w:t>
      </w:r>
    </w:p>
    <w:p w14:paraId="3D022051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tài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nguyên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lần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xuất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35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kể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xuất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hoặc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kể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quan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hóa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pháp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luật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về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hải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quan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dầu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thô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xuất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khẩu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</w:t>
      </w:r>
    </w:p>
    <w:p w14:paraId="159E97CC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khí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thiên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nhiên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tài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nguyên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tháng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</w:t>
      </w:r>
    </w:p>
    <w:p w14:paraId="003234D2" w14:textId="77777777" w:rsidR="00913FBB" w:rsidRPr="00913FBB" w:rsidRDefault="00913FBB" w:rsidP="00913FBB">
      <w:pPr>
        <w:spacing w:before="375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khoản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begin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instrText xml:space="preserve"> HYPERLINK "https://thuvienphapluat.vn/van-ban/Thue-Phi-Le-Phi/Nghi-dinh-91-2022-ND-CP-sua-doi-Nghi-dinh-126-2020-ND-CP-huong-dan-Luat-Quan-ly-thue-516302.aspx?anchor=khoan_1_1" \t "_blank" </w:instrTex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separate"/>
      </w:r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color w:val="0E70A4"/>
          <w:kern w:val="0"/>
          <w:sz w:val="26"/>
          <w:szCs w:val="26"/>
          <w14:ligatures w14:val="none"/>
        </w:rPr>
        <w:t xml:space="preserve"> 91/2022/NĐ-CP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ldChar w:fldCharType="end"/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21210940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Sửa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đổi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bổ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sung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một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số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số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126/2020/NĐ-CP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19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tháng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10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2020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phủ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chi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tiết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một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số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Luật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</w:p>
    <w:p w14:paraId="0B6C8F22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1.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Bổ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sung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6a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:</w:t>
      </w:r>
    </w:p>
    <w:p w14:paraId="5EBBB3A9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“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Điều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6a.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thúc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</w:p>
    <w:p w14:paraId="61E84FF5" w14:textId="77777777" w:rsidR="00913FBB" w:rsidRPr="00913FBB" w:rsidRDefault="00913FBB" w:rsidP="00913FBB">
      <w:pPr>
        <w:spacing w:after="75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quan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giải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hiệu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lực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cưỡng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hành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về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thực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hiện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tại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Luật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Nghị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.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Trường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hợp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cùng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khai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quan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quản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lý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giải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hồ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sơ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hiệu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lực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quyết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cưỡng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chế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trùng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thì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cùng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làm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việc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liền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kề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đó</w:t>
      </w:r>
      <w:proofErr w:type="spellEnd"/>
      <w:r w:rsidRPr="00913FBB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>.”</w:t>
      </w:r>
    </w:p>
    <w:p w14:paraId="2850439F" w14:textId="77777777" w:rsidR="00913FBB" w:rsidRPr="00913FBB" w:rsidRDefault="00913FBB" w:rsidP="00913FBB">
      <w:pPr>
        <w:spacing w:before="375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Căn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2A3EE788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</w:t>
      </w:r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 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I/2023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4A450BCC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do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lễ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Giỗ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Tổ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Hùng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Vương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Chiến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thắng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30/4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Quốc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người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lao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động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kéo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dài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05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tục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bắt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từ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29/4/2023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hết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03/5/2023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I/2023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04/5/2023.</w:t>
      </w:r>
    </w:p>
    <w:p w14:paraId="55E25E36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-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II/2023: 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tháng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đầu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84513EF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Trường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hợp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trùng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thì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cuối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việc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liền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kề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sau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3D1A9B41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Do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30/7/2023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trùng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nghỉ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tuần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nên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II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31/7/2023.</w:t>
      </w:r>
    </w:p>
    <w:p w14:paraId="40C2E7E0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III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2023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30/10/2023.</w:t>
      </w:r>
    </w:p>
    <w:p w14:paraId="10465F5C" w14:textId="77777777" w:rsidR="00913FBB" w:rsidRP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Như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sách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thứ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toán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cần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ý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thời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gian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theo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2023.</w:t>
      </w:r>
    </w:p>
    <w:p w14:paraId="76C4FDDF" w14:textId="77777777" w:rsidR="00913FBB" w:rsidRDefault="00913FBB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 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Nộp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thuế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thu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nhập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doanh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nghiệp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tạm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tính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quý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IV </w:t>
      </w:r>
      <w:proofErr w:type="spellStart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năm</w:t>
      </w:r>
      <w:proofErr w:type="spellEnd"/>
      <w:r w:rsidRPr="00913FBB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2023</w:t>
      </w:r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chậm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nhất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913FB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30/01/2024.</w:t>
      </w:r>
    </w:p>
    <w:p w14:paraId="163D8473" w14:textId="3616A4D0" w:rsidR="00913FBB" w:rsidRPr="00913FBB" w:rsidRDefault="00913FBB" w:rsidP="00913FB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TÀI LIỆU THAM KHẢO</w:t>
      </w:r>
    </w:p>
    <w:p w14:paraId="5925B4D4" w14:textId="1C781923" w:rsidR="00135046" w:rsidRDefault="007D0F02" w:rsidP="00913FB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hyperlink r:id="rId7" w:history="1">
        <w:r w:rsidR="00913FBB" w:rsidRPr="00CC05CB">
          <w:rPr>
            <w:rStyle w:val="Hyperlink"/>
            <w:rFonts w:ascii="Times New Roman" w:eastAsia="Times New Roman" w:hAnsi="Times New Roman" w:cs="Times New Roman"/>
            <w:kern w:val="0"/>
            <w:sz w:val="26"/>
            <w:szCs w:val="26"/>
            <w14:ligatures w14:val="none"/>
          </w:rPr>
          <w:t>https://thuvienphapluat.vn/phap-luat/thoi-su-phap-luat</w:t>
        </w:r>
      </w:hyperlink>
      <w:r w:rsidR="00913FBB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0E614627" w14:textId="77777777" w:rsidR="00913FBB" w:rsidRPr="00913FBB" w:rsidRDefault="00913FBB" w:rsidP="00913FBB">
      <w:pPr>
        <w:spacing w:after="100" w:afterAutospacing="1" w:line="240" w:lineRule="auto"/>
        <w:jc w:val="both"/>
        <w:rPr>
          <w:sz w:val="26"/>
          <w:szCs w:val="26"/>
          <w:lang w:val="vi-VN"/>
        </w:rPr>
      </w:pPr>
    </w:p>
    <w:sectPr w:rsidR="00913FBB" w:rsidRPr="00913FB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CB83" w14:textId="77777777" w:rsidR="007D0F02" w:rsidRDefault="007D0F02" w:rsidP="00913FBB">
      <w:pPr>
        <w:spacing w:after="0" w:line="240" w:lineRule="auto"/>
      </w:pPr>
      <w:r>
        <w:separator/>
      </w:r>
    </w:p>
  </w:endnote>
  <w:endnote w:type="continuationSeparator" w:id="0">
    <w:p w14:paraId="56199AB8" w14:textId="77777777" w:rsidR="007D0F02" w:rsidRDefault="007D0F02" w:rsidP="0091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85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C42DA" w14:textId="53F2B375" w:rsidR="00913FBB" w:rsidRDefault="00913F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3F721" w14:textId="77777777" w:rsidR="00913FBB" w:rsidRDefault="0091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D8AC0" w14:textId="77777777" w:rsidR="007D0F02" w:rsidRDefault="007D0F02" w:rsidP="00913FBB">
      <w:pPr>
        <w:spacing w:after="0" w:line="240" w:lineRule="auto"/>
      </w:pPr>
      <w:r>
        <w:separator/>
      </w:r>
    </w:p>
  </w:footnote>
  <w:footnote w:type="continuationSeparator" w:id="0">
    <w:p w14:paraId="31A5852F" w14:textId="77777777" w:rsidR="007D0F02" w:rsidRDefault="007D0F02" w:rsidP="0091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26AC"/>
    <w:multiLevelType w:val="multilevel"/>
    <w:tmpl w:val="ABA4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0NzexNDQxtjSyNDNQ0lEKTi0uzszPAykwrAUAGOoDoCwAAAA="/>
  </w:docVars>
  <w:rsids>
    <w:rsidRoot w:val="00913FBB"/>
    <w:rsid w:val="00135046"/>
    <w:rsid w:val="004D1CFE"/>
    <w:rsid w:val="007D0F02"/>
    <w:rsid w:val="00913FBB"/>
    <w:rsid w:val="00D00A45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668B"/>
  <w15:chartTrackingRefBased/>
  <w15:docId w15:val="{AC881E6F-0ED7-4BEF-88A0-F7CEB85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3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913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FB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3FB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913FBB"/>
    <w:rPr>
      <w:b/>
      <w:bCs/>
    </w:rPr>
  </w:style>
  <w:style w:type="character" w:styleId="Hyperlink">
    <w:name w:val="Hyperlink"/>
    <w:basedOn w:val="DefaultParagraphFont"/>
    <w:uiPriority w:val="99"/>
    <w:unhideWhenUsed/>
    <w:rsid w:val="00913F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13FB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13F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3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BB"/>
  </w:style>
  <w:style w:type="paragraph" w:styleId="Footer">
    <w:name w:val="footer"/>
    <w:basedOn w:val="Normal"/>
    <w:link w:val="FooterChar"/>
    <w:uiPriority w:val="99"/>
    <w:unhideWhenUsed/>
    <w:rsid w:val="00913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BB"/>
  </w:style>
  <w:style w:type="paragraph" w:styleId="ListParagraph">
    <w:name w:val="List Paragraph"/>
    <w:basedOn w:val="Normal"/>
    <w:uiPriority w:val="34"/>
    <w:qFormat/>
    <w:rsid w:val="0091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31470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70703057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801219968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82866761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01936180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661742856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2630709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4430649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8217017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561602595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152522912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208762717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296831391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  <w:div w:id="1088385389">
          <w:blockQuote w:val="1"/>
          <w:marLeft w:val="0"/>
          <w:marRight w:val="0"/>
          <w:marTop w:val="0"/>
          <w:marBottom w:val="75"/>
          <w:divBdr>
            <w:top w:val="none" w:sz="0" w:space="0" w:color="EF9D20"/>
            <w:left w:val="single" w:sz="24" w:space="9" w:color="EF9D20"/>
            <w:bottom w:val="none" w:sz="0" w:space="0" w:color="EF9D20"/>
            <w:right w:val="none" w:sz="0" w:space="0" w:color="EF9D2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huvienphapluat.vn/phap-luat/thoi-su-phap-lu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ASUS</cp:lastModifiedBy>
  <cp:revision>2</cp:revision>
  <dcterms:created xsi:type="dcterms:W3CDTF">2023-04-17T03:58:00Z</dcterms:created>
  <dcterms:modified xsi:type="dcterms:W3CDTF">2023-04-17T03:58:00Z</dcterms:modified>
</cp:coreProperties>
</file>