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CF1A6" w14:textId="0D3343BE" w:rsidR="004A153D" w:rsidRPr="004A153D" w:rsidRDefault="004A153D" w:rsidP="004A153D">
      <w:pPr>
        <w:spacing w:line="360" w:lineRule="auto"/>
        <w:jc w:val="center"/>
        <w:outlineLvl w:val="1"/>
        <w:rPr>
          <w:rFonts w:eastAsia="Times New Roman"/>
          <w:b/>
          <w:color w:val="000000"/>
          <w:sz w:val="28"/>
          <w:szCs w:val="28"/>
        </w:rPr>
      </w:pPr>
      <w:bookmarkStart w:id="0" w:name="_GoBack"/>
      <w:bookmarkEnd w:id="0"/>
      <w:r>
        <w:rPr>
          <w:rFonts w:eastAsia="Times New Roman"/>
          <w:b/>
          <w:color w:val="000000"/>
          <w:sz w:val="28"/>
          <w:szCs w:val="28"/>
        </w:rPr>
        <w:t xml:space="preserve"> MỞ THẺ NGÂN HÀNG BẰNG HÌNH THỨC ONLINE</w:t>
      </w:r>
    </w:p>
    <w:p w14:paraId="1A2466FD" w14:textId="2B9F3384" w:rsidR="00BB4074" w:rsidRDefault="00BB4074" w:rsidP="00BB4074">
      <w:pPr>
        <w:spacing w:line="360" w:lineRule="auto"/>
        <w:jc w:val="right"/>
        <w:outlineLvl w:val="1"/>
        <w:rPr>
          <w:rFonts w:eastAsia="Times New Roman"/>
          <w:i/>
          <w:color w:val="000000"/>
          <w:sz w:val="28"/>
          <w:szCs w:val="28"/>
        </w:rPr>
      </w:pPr>
      <w:r w:rsidRPr="004A153D">
        <w:rPr>
          <w:rFonts w:eastAsia="Times New Roman"/>
          <w:i/>
          <w:color w:val="000000"/>
          <w:sz w:val="28"/>
          <w:szCs w:val="28"/>
        </w:rPr>
        <w:t>ThS. Nguyễn Khánh Thu Hằng</w:t>
      </w:r>
      <w:r w:rsidR="004A153D">
        <w:rPr>
          <w:rFonts w:eastAsia="Times New Roman"/>
          <w:i/>
          <w:color w:val="000000"/>
          <w:sz w:val="28"/>
          <w:szCs w:val="28"/>
        </w:rPr>
        <w:t>- Đại học Duy Tân</w:t>
      </w:r>
    </w:p>
    <w:p w14:paraId="33684D0D" w14:textId="722B432E" w:rsidR="004A153D" w:rsidRDefault="004A153D" w:rsidP="00BB4074">
      <w:pPr>
        <w:spacing w:line="360" w:lineRule="auto"/>
        <w:jc w:val="right"/>
        <w:outlineLvl w:val="1"/>
        <w:rPr>
          <w:rFonts w:eastAsia="Times New Roman"/>
          <w:i/>
          <w:color w:val="000000"/>
          <w:sz w:val="28"/>
          <w:szCs w:val="28"/>
        </w:rPr>
      </w:pPr>
      <w:r>
        <w:rPr>
          <w:rFonts w:eastAsia="Times New Roman"/>
          <w:i/>
          <w:color w:val="000000"/>
          <w:sz w:val="28"/>
          <w:szCs w:val="28"/>
        </w:rPr>
        <w:t>ThS. Nguyễn Thị Đoan Trang – Đại học Duy Tân</w:t>
      </w:r>
    </w:p>
    <w:p w14:paraId="3E95B001" w14:textId="477EE0BE" w:rsidR="00BB4074" w:rsidRPr="004A153D" w:rsidRDefault="004A153D" w:rsidP="004A153D">
      <w:pPr>
        <w:spacing w:line="360" w:lineRule="auto"/>
        <w:jc w:val="both"/>
        <w:outlineLvl w:val="1"/>
        <w:rPr>
          <w:rFonts w:eastAsia="Times New Roman"/>
          <w:b/>
          <w:color w:val="000000"/>
          <w:sz w:val="28"/>
          <w:szCs w:val="28"/>
        </w:rPr>
      </w:pPr>
      <w:r>
        <w:rPr>
          <w:rFonts w:eastAsia="Times New Roman"/>
          <w:b/>
          <w:color w:val="000000"/>
          <w:sz w:val="28"/>
          <w:szCs w:val="28"/>
        </w:rPr>
        <w:t>Tóm tắt</w:t>
      </w:r>
    </w:p>
    <w:p w14:paraId="186B7E04" w14:textId="77777777" w:rsidR="00E8686C" w:rsidRDefault="00E8686C" w:rsidP="00BB4074">
      <w:pPr>
        <w:spacing w:line="360" w:lineRule="auto"/>
        <w:ind w:firstLine="720"/>
        <w:jc w:val="both"/>
        <w:outlineLvl w:val="1"/>
        <w:rPr>
          <w:rFonts w:eastAsia="Times New Roman"/>
          <w:iCs/>
          <w:color w:val="000000"/>
          <w:sz w:val="28"/>
          <w:szCs w:val="28"/>
        </w:rPr>
      </w:pPr>
      <w:r w:rsidRPr="004A153D">
        <w:rPr>
          <w:rFonts w:eastAsia="Times New Roman"/>
          <w:iCs/>
          <w:color w:val="000000"/>
          <w:sz w:val="28"/>
          <w:szCs w:val="28"/>
        </w:rPr>
        <w:t>Ngân hàng Nhà nước đã ban hành Thông tư 17/2021/TT-NHNN sửa đổi, bổ sung một số điều của Thông tư số 19/2016/TT-NHNN quy định về hoạt động thẻ ngân hàng; trong đó, bổ sung quy định: Tổ chức phát hành thẻ có thể thực hiện phát hành thẻ ghi nợ, thẻ tín dụng, thẻ trả trước định danh đối với chủ thẻ chính là cá nhân bằng phương thức điện tử.</w:t>
      </w:r>
    </w:p>
    <w:p w14:paraId="6980B077" w14:textId="728B3299" w:rsidR="004A153D" w:rsidRDefault="004A153D" w:rsidP="00BB4074">
      <w:pPr>
        <w:spacing w:line="360" w:lineRule="auto"/>
        <w:ind w:firstLine="720"/>
        <w:jc w:val="both"/>
        <w:outlineLvl w:val="1"/>
        <w:rPr>
          <w:rFonts w:eastAsia="Times New Roman"/>
          <w:i/>
          <w:iCs/>
          <w:color w:val="000000"/>
          <w:sz w:val="28"/>
          <w:szCs w:val="28"/>
        </w:rPr>
      </w:pPr>
      <w:r w:rsidRPr="0039613C">
        <w:rPr>
          <w:rFonts w:eastAsia="Times New Roman"/>
          <w:i/>
          <w:iCs/>
          <w:color w:val="000000"/>
          <w:sz w:val="28"/>
          <w:szCs w:val="28"/>
        </w:rPr>
        <w:t>Từ khoá: Thẻ, phương thức điện tử, khách hàng,</w:t>
      </w:r>
      <w:r w:rsidR="00E24767">
        <w:rPr>
          <w:rFonts w:eastAsia="Times New Roman"/>
          <w:i/>
          <w:iCs/>
          <w:color w:val="000000"/>
          <w:sz w:val="28"/>
          <w:szCs w:val="28"/>
        </w:rPr>
        <w:t xml:space="preserve"> tổ chức phát hành thẻ</w:t>
      </w:r>
      <w:r w:rsidRPr="0039613C">
        <w:rPr>
          <w:rFonts w:eastAsia="Times New Roman"/>
          <w:i/>
          <w:iCs/>
          <w:color w:val="000000"/>
          <w:sz w:val="28"/>
          <w:szCs w:val="28"/>
        </w:rPr>
        <w:t xml:space="preserve"> …</w:t>
      </w:r>
    </w:p>
    <w:p w14:paraId="258EC9F4" w14:textId="77777777" w:rsidR="0039613C" w:rsidRPr="0039613C" w:rsidRDefault="0039613C" w:rsidP="00BB4074">
      <w:pPr>
        <w:spacing w:line="360" w:lineRule="auto"/>
        <w:ind w:firstLine="720"/>
        <w:jc w:val="both"/>
        <w:outlineLvl w:val="1"/>
        <w:rPr>
          <w:rFonts w:eastAsia="Times New Roman"/>
          <w:i/>
          <w:iCs/>
          <w:color w:val="000000"/>
          <w:sz w:val="28"/>
          <w:szCs w:val="28"/>
        </w:rPr>
      </w:pPr>
    </w:p>
    <w:p w14:paraId="6B39F108" w14:textId="4EDDFF06" w:rsidR="003846C8" w:rsidRDefault="003846C8" w:rsidP="003846C8">
      <w:pPr>
        <w:spacing w:line="360" w:lineRule="auto"/>
        <w:ind w:firstLine="720"/>
        <w:jc w:val="both"/>
        <w:outlineLvl w:val="1"/>
        <w:rPr>
          <w:rFonts w:eastAsia="Times New Roman"/>
          <w:iCs/>
          <w:color w:val="000000"/>
          <w:sz w:val="28"/>
          <w:szCs w:val="28"/>
        </w:rPr>
      </w:pPr>
      <w:r w:rsidRPr="003846C8">
        <w:rPr>
          <w:rFonts w:eastAsia="Times New Roman"/>
          <w:iCs/>
          <w:color w:val="000000"/>
          <w:sz w:val="28"/>
          <w:szCs w:val="28"/>
        </w:rPr>
        <w:t>Thẻ ngân hàng là phương tiện thanh toán không dùng tiền mặt, ra đời từ phương thức mua bán hàng hóa bán lẻ và phát triển gắn liền với việc ứng dụng công nghệ tin học trong lĩnh vực tài chính ngân hàng.</w:t>
      </w:r>
    </w:p>
    <w:p w14:paraId="36BC9351" w14:textId="3BE535D8" w:rsidR="003846C8" w:rsidRPr="003846C8" w:rsidRDefault="0039613C" w:rsidP="003846C8">
      <w:pPr>
        <w:spacing w:line="360" w:lineRule="auto"/>
        <w:ind w:firstLine="720"/>
        <w:jc w:val="both"/>
        <w:outlineLvl w:val="1"/>
        <w:rPr>
          <w:rFonts w:eastAsia="Times New Roman"/>
          <w:iCs/>
          <w:color w:val="000000"/>
          <w:sz w:val="28"/>
          <w:szCs w:val="28"/>
        </w:rPr>
      </w:pPr>
      <w:r w:rsidRPr="0039613C">
        <w:rPr>
          <w:rFonts w:eastAsia="Times New Roman"/>
          <w:iCs/>
          <w:color w:val="000000"/>
          <w:sz w:val="28"/>
          <w:szCs w:val="28"/>
        </w:rPr>
        <w:t>Thẻ ngân hàng là một loại thẻ được phát hành bởi các ngân hàng hoặc một số công ty tài chính, để thực hiện các giao dịch thẻ theo các điều kiện và điều khoản được các bên thỏa thuận. Đây là công cụ thanh toán không dùng tiền mặt, mang lại nhiều tiện ích cho người sử dụng khi thanh toán mua sắm hàng hóa, dịch vụ hay rút tiền mặt tại ngân hàng ho</w:t>
      </w:r>
      <w:r>
        <w:rPr>
          <w:rFonts w:eastAsia="Times New Roman"/>
          <w:iCs/>
          <w:color w:val="000000"/>
          <w:sz w:val="28"/>
          <w:szCs w:val="28"/>
        </w:rPr>
        <w:t>ặc tại các máy rút tiền tự động. Hiện nay, t</w:t>
      </w:r>
      <w:r w:rsidRPr="0039613C">
        <w:rPr>
          <w:rFonts w:eastAsia="Times New Roman"/>
          <w:iCs/>
          <w:color w:val="000000"/>
          <w:sz w:val="28"/>
          <w:szCs w:val="28"/>
        </w:rPr>
        <w:t>hẻ ngân hàng ngày càng được sử dụng phổ biến trong các giao dịch như</w:t>
      </w:r>
      <w:r w:rsidRPr="0039613C">
        <w:rPr>
          <w:sz w:val="28"/>
          <w:szCs w:val="28"/>
        </w:rPr>
        <w:t> </w:t>
      </w:r>
      <w:hyperlink r:id="rId5" w:history="1">
        <w:r w:rsidRPr="0039613C">
          <w:rPr>
            <w:color w:val="000000"/>
            <w:sz w:val="28"/>
            <w:szCs w:val="28"/>
          </w:rPr>
          <w:t>chuyển khoản</w:t>
        </w:r>
      </w:hyperlink>
      <w:r w:rsidRPr="0039613C">
        <w:rPr>
          <w:rFonts w:eastAsia="Times New Roman"/>
          <w:iCs/>
          <w:color w:val="000000"/>
          <w:sz w:val="28"/>
          <w:szCs w:val="28"/>
        </w:rPr>
        <w:t>, rút tiền hay thanh toán khi mua sắm. Tuy nhiên, mỗi loại thẻ ngân hàng s</w:t>
      </w:r>
      <w:r>
        <w:rPr>
          <w:rFonts w:eastAsia="Times New Roman"/>
          <w:iCs/>
          <w:color w:val="000000"/>
          <w:sz w:val="28"/>
          <w:szCs w:val="28"/>
        </w:rPr>
        <w:t xml:space="preserve">ẽ có những tính năng khác nhau. </w:t>
      </w:r>
    </w:p>
    <w:p w14:paraId="317DD87D" w14:textId="634F6E37" w:rsidR="003846C8" w:rsidRDefault="003846C8" w:rsidP="003846C8">
      <w:pPr>
        <w:spacing w:line="360" w:lineRule="auto"/>
        <w:ind w:firstLine="720"/>
        <w:jc w:val="both"/>
        <w:outlineLvl w:val="1"/>
        <w:rPr>
          <w:rFonts w:eastAsia="Times New Roman"/>
          <w:iCs/>
          <w:color w:val="000000"/>
          <w:sz w:val="28"/>
          <w:szCs w:val="28"/>
        </w:rPr>
      </w:pPr>
      <w:r w:rsidRPr="003846C8">
        <w:rPr>
          <w:rFonts w:eastAsia="Times New Roman"/>
          <w:iCs/>
          <w:color w:val="000000"/>
          <w:sz w:val="28"/>
          <w:szCs w:val="28"/>
        </w:rPr>
        <w:t>Có 3 loại thẻ ngân hàng chính: </w:t>
      </w:r>
      <w:r w:rsidRPr="003846C8">
        <w:rPr>
          <w:rFonts w:eastAsia="Times New Roman"/>
          <w:bCs/>
          <w:iCs/>
          <w:color w:val="000000"/>
          <w:sz w:val="28"/>
          <w:szCs w:val="28"/>
        </w:rPr>
        <w:t>Thẻ ghi nợ</w:t>
      </w:r>
      <w:r w:rsidRPr="003846C8">
        <w:rPr>
          <w:rFonts w:eastAsia="Times New Roman"/>
          <w:iCs/>
          <w:color w:val="000000"/>
          <w:sz w:val="28"/>
          <w:szCs w:val="28"/>
        </w:rPr>
        <w:t>, </w:t>
      </w:r>
      <w:r w:rsidRPr="003846C8">
        <w:rPr>
          <w:rFonts w:eastAsia="Times New Roman"/>
          <w:bCs/>
          <w:iCs/>
          <w:color w:val="000000"/>
          <w:sz w:val="28"/>
          <w:szCs w:val="28"/>
        </w:rPr>
        <w:t>thẻ tín dụng</w:t>
      </w:r>
      <w:r w:rsidRPr="003846C8">
        <w:rPr>
          <w:rFonts w:eastAsia="Times New Roman"/>
          <w:iCs/>
          <w:color w:val="000000"/>
          <w:sz w:val="28"/>
          <w:szCs w:val="28"/>
        </w:rPr>
        <w:t> và </w:t>
      </w:r>
      <w:r w:rsidRPr="003846C8">
        <w:rPr>
          <w:rFonts w:eastAsia="Times New Roman"/>
          <w:bCs/>
          <w:iCs/>
          <w:color w:val="000000"/>
          <w:sz w:val="28"/>
          <w:szCs w:val="28"/>
        </w:rPr>
        <w:t>thẻ trả trước</w:t>
      </w:r>
      <w:r w:rsidRPr="003846C8">
        <w:rPr>
          <w:rFonts w:eastAsia="Times New Roman"/>
          <w:iCs/>
          <w:color w:val="000000"/>
          <w:sz w:val="28"/>
          <w:szCs w:val="28"/>
        </w:rPr>
        <w:t> với tính năng sử dụng và đặc điểm hoàn toàn khác nhau. Cả 3 thẻ này đều là thẻ thanh toán, hay thẻ vật lý. Một số ngân hàng còn phát hành thẻ ảo (thẻ phi vật lý) chỉ sử dụng online như thanh toán trực tuyến mà không biểu hiện dưới hạng thẻ vật lý.</w:t>
      </w:r>
    </w:p>
    <w:p w14:paraId="21F8D55A" w14:textId="77777777" w:rsidR="00DA1754" w:rsidRDefault="0039613C" w:rsidP="003846C8">
      <w:pPr>
        <w:spacing w:line="360" w:lineRule="auto"/>
        <w:ind w:firstLine="720"/>
        <w:jc w:val="both"/>
        <w:outlineLvl w:val="1"/>
        <w:rPr>
          <w:rFonts w:eastAsia="Times New Roman"/>
          <w:iCs/>
          <w:color w:val="000000"/>
          <w:sz w:val="28"/>
          <w:szCs w:val="28"/>
        </w:rPr>
      </w:pPr>
      <w:r>
        <w:rPr>
          <w:rFonts w:eastAsia="Times New Roman"/>
          <w:iCs/>
          <w:color w:val="000000"/>
          <w:sz w:val="28"/>
          <w:szCs w:val="28"/>
        </w:rPr>
        <w:lastRenderedPageBreak/>
        <w:t xml:space="preserve">Đối với </w:t>
      </w:r>
      <w:r w:rsidRPr="0039613C">
        <w:rPr>
          <w:rFonts w:eastAsia="Times New Roman"/>
          <w:iCs/>
          <w:color w:val="000000"/>
          <w:sz w:val="28"/>
          <w:szCs w:val="28"/>
        </w:rPr>
        <w:t>Thẻ tín dụng</w:t>
      </w:r>
      <w:r>
        <w:rPr>
          <w:rFonts w:eastAsia="Times New Roman"/>
          <w:iCs/>
          <w:color w:val="000000"/>
          <w:sz w:val="28"/>
          <w:szCs w:val="28"/>
        </w:rPr>
        <w:t xml:space="preserve"> (Credit card)</w:t>
      </w:r>
      <w:r w:rsidRPr="0039613C">
        <w:rPr>
          <w:rFonts w:eastAsia="Times New Roman"/>
          <w:iCs/>
          <w:color w:val="000000"/>
          <w:sz w:val="28"/>
          <w:szCs w:val="28"/>
        </w:rPr>
        <w:t xml:space="preserve"> là </w:t>
      </w:r>
      <w:r w:rsidR="003846C8">
        <w:rPr>
          <w:rFonts w:eastAsia="Times New Roman"/>
          <w:iCs/>
          <w:color w:val="000000"/>
          <w:sz w:val="28"/>
          <w:szCs w:val="28"/>
        </w:rPr>
        <w:t xml:space="preserve">một công cụ thanh toán không dùng tiền mặt, là </w:t>
      </w:r>
      <w:r w:rsidRPr="0039613C">
        <w:rPr>
          <w:rFonts w:eastAsia="Times New Roman"/>
          <w:iCs/>
          <w:color w:val="000000"/>
          <w:sz w:val="28"/>
          <w:szCs w:val="28"/>
        </w:rPr>
        <w:t xml:space="preserve">loại thẻ ngân hàng cho phép khách hàng chi tiêu trước, trả tiền sau trong một khoảng thời gian quy định. </w:t>
      </w:r>
      <w:r w:rsidR="003846C8">
        <w:rPr>
          <w:rFonts w:eastAsia="Times New Roman"/>
          <w:iCs/>
          <w:color w:val="000000"/>
          <w:sz w:val="28"/>
          <w:szCs w:val="28"/>
        </w:rPr>
        <w:t xml:space="preserve">Ngân hàng sẽ cung cấp cho khách hàng một hạn mức chi tiêu. Khách hàng </w:t>
      </w:r>
      <w:r w:rsidR="003846C8" w:rsidRPr="003846C8">
        <w:rPr>
          <w:rFonts w:eastAsia="Times New Roman"/>
          <w:iCs/>
          <w:color w:val="000000"/>
          <w:sz w:val="28"/>
          <w:szCs w:val="28"/>
        </w:rPr>
        <w:t>sử dụng hạn mức đó để thanh toán các hóa đơn hàng hóa tại các điểm máy POS hoặc mua hàng online.</w:t>
      </w:r>
      <w:r w:rsidR="003846C8">
        <w:rPr>
          <w:rFonts w:eastAsia="Times New Roman"/>
          <w:iCs/>
          <w:color w:val="000000"/>
          <w:sz w:val="28"/>
          <w:szCs w:val="28"/>
        </w:rPr>
        <w:t xml:space="preserve"> Khách hàng k</w:t>
      </w:r>
      <w:r w:rsidR="003846C8" w:rsidRPr="003846C8">
        <w:rPr>
          <w:rFonts w:eastAsia="Times New Roman"/>
          <w:iCs/>
          <w:color w:val="000000"/>
          <w:sz w:val="28"/>
          <w:szCs w:val="28"/>
        </w:rPr>
        <w:t xml:space="preserve">hông phải nạp tiền vào tài khoản thẻ tín dụng, bởi thực chất </w:t>
      </w:r>
      <w:r w:rsidR="003846C8">
        <w:rPr>
          <w:rFonts w:eastAsia="Times New Roman"/>
          <w:iCs/>
          <w:color w:val="000000"/>
          <w:sz w:val="28"/>
          <w:szCs w:val="28"/>
        </w:rPr>
        <w:t xml:space="preserve">khách hàng </w:t>
      </w:r>
      <w:r w:rsidR="003846C8" w:rsidRPr="003846C8">
        <w:rPr>
          <w:rFonts w:eastAsia="Times New Roman"/>
          <w:iCs/>
          <w:color w:val="000000"/>
          <w:sz w:val="28"/>
          <w:szCs w:val="28"/>
        </w:rPr>
        <w:t xml:space="preserve">đang vay tiền để tiêu dùng mà ngân hàng cung cấp thông qua nó. </w:t>
      </w:r>
    </w:p>
    <w:p w14:paraId="2C50F819" w14:textId="56596E34" w:rsidR="0039613C" w:rsidRPr="0039613C" w:rsidRDefault="003846C8" w:rsidP="00DA1754">
      <w:pPr>
        <w:spacing w:line="360" w:lineRule="auto"/>
        <w:ind w:firstLine="720"/>
        <w:jc w:val="both"/>
        <w:outlineLvl w:val="1"/>
        <w:rPr>
          <w:rFonts w:ascii="roboto" w:eastAsia="Times New Roman" w:hAnsi="roboto"/>
          <w:color w:val="58595B"/>
          <w:sz w:val="21"/>
          <w:szCs w:val="21"/>
        </w:rPr>
      </w:pPr>
      <w:r w:rsidRPr="003846C8">
        <w:rPr>
          <w:rFonts w:eastAsia="Times New Roman"/>
          <w:iCs/>
          <w:color w:val="000000"/>
          <w:sz w:val="28"/>
          <w:szCs w:val="28"/>
        </w:rPr>
        <w:t xml:space="preserve">Chủ thẻ tín dụng được miễn lãi tối đa 45 ngày tùy ngân hàng. Tức là từ ngày mua hàng bằng thẻ tín dụng, bạn có tối đa 45 ngày không bị tính lãi suất nếu trả đủ số tiền đã dùng từ thẻ. Vượt quá 45 ngày này mà chưa thanh toán, </w:t>
      </w:r>
      <w:r w:rsidR="0039613C" w:rsidRPr="0039613C">
        <w:rPr>
          <w:rFonts w:eastAsia="Times New Roman"/>
          <w:iCs/>
          <w:color w:val="000000"/>
          <w:sz w:val="28"/>
          <w:szCs w:val="28"/>
        </w:rPr>
        <w:t>ngân hàng sẽ tính lãi suất phạt trả chậm theo quy định của mỗi ngân hàng.</w:t>
      </w:r>
      <w:r w:rsidR="0039613C">
        <w:rPr>
          <w:rFonts w:eastAsia="Times New Roman"/>
          <w:iCs/>
          <w:color w:val="000000"/>
          <w:sz w:val="28"/>
          <w:szCs w:val="28"/>
        </w:rPr>
        <w:t xml:space="preserve"> </w:t>
      </w:r>
      <w:r w:rsidR="0039613C" w:rsidRPr="0039613C">
        <w:rPr>
          <w:rFonts w:eastAsia="Times New Roman"/>
          <w:iCs/>
          <w:color w:val="000000"/>
          <w:sz w:val="28"/>
          <w:szCs w:val="28"/>
        </w:rPr>
        <w:t>Mỗi thẻ tín dụng sẽ được ngân hàng cấp cho một hạn mức chi tiêu riêng và người sử dụng chỉ có thể thanh toán, chi tiêu trong hạn mức đó. Để mở thẻ, bạn cần phải chứng minh năng lực tài chính hoặc tài sản có giá trị. Dựa vào đó, ngân hàng sẽ xác định khả năng trả nợ của chủ thẻ và đưa ra hạn mức tín dụng phù hợp.</w:t>
      </w:r>
      <w:r w:rsidR="00DA1754">
        <w:rPr>
          <w:rFonts w:ascii="roboto" w:eastAsia="Times New Roman" w:hAnsi="roboto"/>
          <w:color w:val="58595B"/>
          <w:sz w:val="21"/>
          <w:szCs w:val="21"/>
        </w:rPr>
        <w:t xml:space="preserve"> </w:t>
      </w:r>
      <w:r w:rsidR="0039613C" w:rsidRPr="0039613C">
        <w:rPr>
          <w:rFonts w:eastAsia="Times New Roman"/>
          <w:iCs/>
          <w:color w:val="000000"/>
          <w:sz w:val="28"/>
          <w:szCs w:val="28"/>
        </w:rPr>
        <w:t>Những loại thẻ tín dụng được sử dụng phổ biến hiện nay: Thẻ hạng chuẩn, thẻ hạng vàng, thẻ bạch kim, thẻ tư nhân, thẻ doanh nghiệp, thẻ nội địa, thẻ quốc tế.</w:t>
      </w:r>
    </w:p>
    <w:p w14:paraId="1D0A610A" w14:textId="3FE59AE1" w:rsidR="0039613C" w:rsidRPr="0039613C" w:rsidRDefault="0039613C" w:rsidP="0039613C">
      <w:pPr>
        <w:spacing w:line="360" w:lineRule="auto"/>
        <w:ind w:firstLine="720"/>
        <w:jc w:val="both"/>
        <w:outlineLvl w:val="1"/>
        <w:rPr>
          <w:rFonts w:eastAsia="Times New Roman"/>
          <w:iCs/>
          <w:color w:val="000000"/>
          <w:sz w:val="28"/>
          <w:szCs w:val="28"/>
        </w:rPr>
      </w:pPr>
      <w:r w:rsidRPr="0039613C">
        <w:rPr>
          <w:rFonts w:eastAsia="Times New Roman"/>
          <w:iCs/>
          <w:color w:val="000000"/>
          <w:sz w:val="28"/>
          <w:szCs w:val="28"/>
        </w:rPr>
        <w:t xml:space="preserve">Thẻ ghi nợ </w:t>
      </w:r>
      <w:r>
        <w:rPr>
          <w:rFonts w:eastAsia="Times New Roman"/>
          <w:iCs/>
          <w:color w:val="000000"/>
          <w:sz w:val="28"/>
          <w:szCs w:val="28"/>
        </w:rPr>
        <w:t>(Debit card) là loạ</w:t>
      </w:r>
      <w:r w:rsidR="00DA1754">
        <w:rPr>
          <w:rFonts w:eastAsia="Times New Roman"/>
          <w:iCs/>
          <w:color w:val="000000"/>
          <w:sz w:val="28"/>
          <w:szCs w:val="28"/>
        </w:rPr>
        <w:t>i</w:t>
      </w:r>
      <w:r>
        <w:rPr>
          <w:rFonts w:eastAsia="Times New Roman"/>
          <w:iCs/>
          <w:color w:val="000000"/>
          <w:sz w:val="28"/>
          <w:szCs w:val="28"/>
        </w:rPr>
        <w:t xml:space="preserve"> thẻ li</w:t>
      </w:r>
      <w:r w:rsidRPr="0039613C">
        <w:rPr>
          <w:rFonts w:eastAsia="Times New Roman"/>
          <w:iCs/>
          <w:color w:val="000000"/>
          <w:sz w:val="28"/>
          <w:szCs w:val="28"/>
        </w:rPr>
        <w:t xml:space="preserve">ên kết trực tiếp với tài khoản thanh toán tại ngân hàng, được sử dụng theo cơ chế nạp tiền trước và chi tiêu sau, trong phạm vi số tiền có trong tài khoản ngân hàng. Có nghĩa là, bạn chỉ có thể thanh toán, chuyển khoản, rút tiền mặt tại ATM… khi có tiền trong thẻ và là tiền của bạn nạp </w:t>
      </w:r>
      <w:r>
        <w:rPr>
          <w:rFonts w:eastAsia="Times New Roman"/>
          <w:iCs/>
          <w:color w:val="000000"/>
          <w:sz w:val="28"/>
          <w:szCs w:val="28"/>
        </w:rPr>
        <w:t>vào chứ không phải đi vay ngân hàng</w:t>
      </w:r>
      <w:r w:rsidRPr="0039613C">
        <w:rPr>
          <w:rFonts w:eastAsia="Times New Roman"/>
          <w:iCs/>
          <w:color w:val="000000"/>
          <w:sz w:val="28"/>
          <w:szCs w:val="28"/>
        </w:rPr>
        <w:t>. Do đó, thẻ ghi nợ không có hạn mức tín dụng mà chỉ có hạn mức chuyển khoản theo ngày. Người sử dụng thẻ không phải lo lắng về thời hạn thanh toán, lãi suất như thẻ tín dụng.</w:t>
      </w:r>
      <w:r>
        <w:rPr>
          <w:rFonts w:eastAsia="Times New Roman"/>
          <w:iCs/>
          <w:color w:val="000000"/>
          <w:sz w:val="28"/>
          <w:szCs w:val="28"/>
        </w:rPr>
        <w:t xml:space="preserve"> </w:t>
      </w:r>
      <w:r w:rsidRPr="0039613C">
        <w:rPr>
          <w:rFonts w:eastAsia="Times New Roman"/>
          <w:iCs/>
          <w:color w:val="000000"/>
          <w:sz w:val="28"/>
          <w:szCs w:val="28"/>
        </w:rPr>
        <w:t>Thẻ ghi nợ hiện nay được phân loại theo hạng thẻ gồm: thẻ chuẩn và thẻ hạng cao hơn như thẻ ghi nợ hạng vàng.</w:t>
      </w:r>
    </w:p>
    <w:p w14:paraId="6101AEAB" w14:textId="19503E51" w:rsidR="0039613C" w:rsidRPr="0039613C" w:rsidRDefault="0039613C" w:rsidP="0039613C">
      <w:pPr>
        <w:spacing w:line="360" w:lineRule="auto"/>
        <w:ind w:firstLine="720"/>
        <w:jc w:val="both"/>
        <w:outlineLvl w:val="1"/>
        <w:rPr>
          <w:rFonts w:eastAsia="Times New Roman"/>
          <w:iCs/>
          <w:color w:val="000000"/>
          <w:sz w:val="28"/>
          <w:szCs w:val="28"/>
        </w:rPr>
      </w:pPr>
      <w:r w:rsidRPr="0039613C">
        <w:rPr>
          <w:rFonts w:eastAsia="Times New Roman"/>
          <w:iCs/>
          <w:color w:val="000000"/>
          <w:sz w:val="28"/>
          <w:szCs w:val="28"/>
        </w:rPr>
        <w:t>Thẻ ATM</w:t>
      </w:r>
      <w:r w:rsidRPr="0039613C">
        <w:rPr>
          <w:rFonts w:eastAsia="Times New Roman"/>
          <w:iCs/>
          <w:sz w:val="28"/>
          <w:szCs w:val="28"/>
        </w:rPr>
        <w:t> </w:t>
      </w:r>
      <w:r>
        <w:rPr>
          <w:rFonts w:eastAsia="Times New Roman"/>
          <w:iCs/>
          <w:color w:val="000000"/>
          <w:sz w:val="28"/>
          <w:szCs w:val="28"/>
        </w:rPr>
        <w:t>c</w:t>
      </w:r>
      <w:r w:rsidRPr="0039613C">
        <w:rPr>
          <w:rFonts w:eastAsia="Times New Roman"/>
          <w:iCs/>
          <w:color w:val="000000"/>
          <w:sz w:val="28"/>
          <w:szCs w:val="28"/>
        </w:rPr>
        <w:t xml:space="preserve">ó chức năng tương tự thẻ ghi nợ, sử dụng để rút tiền mặt từ tài khoản cá nhân thông qua ATM trong phạm vi số tiền có trong tài khoản. Ngoài ra, </w:t>
      </w:r>
      <w:r w:rsidRPr="0039613C">
        <w:rPr>
          <w:rFonts w:eastAsia="Times New Roman"/>
          <w:iCs/>
          <w:color w:val="000000"/>
          <w:sz w:val="28"/>
          <w:szCs w:val="28"/>
        </w:rPr>
        <w:lastRenderedPageBreak/>
        <w:t>bạn còn thể sử dụng thẻ ATM để chuyển khoản, thanh toán hóa đơn, kiểm tra tài khoản, mua thẻ từ máy rút tiền tự động ATM. Thẻ ATM dùng để chi tiêu trong nước thông qua tổ chức chuyển mạch thẻ nội địa.</w:t>
      </w:r>
    </w:p>
    <w:p w14:paraId="7F49DCD7" w14:textId="651DC51E" w:rsidR="0039613C" w:rsidRDefault="0039613C" w:rsidP="00AC2349">
      <w:pPr>
        <w:spacing w:line="360" w:lineRule="auto"/>
        <w:ind w:firstLine="720"/>
        <w:jc w:val="both"/>
        <w:outlineLvl w:val="1"/>
        <w:rPr>
          <w:rFonts w:eastAsia="Times New Roman"/>
          <w:iCs/>
          <w:color w:val="000000"/>
          <w:sz w:val="28"/>
          <w:szCs w:val="28"/>
        </w:rPr>
      </w:pPr>
      <w:r w:rsidRPr="0039613C">
        <w:rPr>
          <w:rFonts w:eastAsia="Times New Roman"/>
          <w:iCs/>
          <w:color w:val="000000"/>
          <w:sz w:val="28"/>
          <w:szCs w:val="28"/>
        </w:rPr>
        <w:t>Với thẻ trả trước</w:t>
      </w:r>
      <w:r>
        <w:rPr>
          <w:rFonts w:eastAsia="Times New Roman"/>
          <w:iCs/>
          <w:color w:val="000000"/>
          <w:sz w:val="28"/>
          <w:szCs w:val="28"/>
        </w:rPr>
        <w:t xml:space="preserve"> (Prepaid card) </w:t>
      </w:r>
      <w:r w:rsidRPr="0039613C">
        <w:rPr>
          <w:rFonts w:eastAsia="Times New Roman"/>
          <w:iCs/>
          <w:color w:val="000000"/>
          <w:sz w:val="28"/>
          <w:szCs w:val="28"/>
        </w:rPr>
        <w:t xml:space="preserve"> không cần mở tài khoản ngân hàng để làm thẻ mà chỉ cần</w:t>
      </w:r>
      <w:r w:rsidRPr="0039613C">
        <w:rPr>
          <w:rFonts w:eastAsia="Times New Roman"/>
          <w:iCs/>
          <w:sz w:val="28"/>
          <w:szCs w:val="28"/>
        </w:rPr>
        <w:t> </w:t>
      </w:r>
      <w:hyperlink r:id="rId6" w:history="1">
        <w:r w:rsidRPr="0039613C">
          <w:rPr>
            <w:rFonts w:eastAsia="Times New Roman"/>
            <w:iCs/>
            <w:color w:val="000000"/>
            <w:sz w:val="28"/>
            <w:szCs w:val="28"/>
          </w:rPr>
          <w:t>nạp tiền vào thẻ</w:t>
        </w:r>
      </w:hyperlink>
      <w:r w:rsidRPr="0039613C">
        <w:rPr>
          <w:rFonts w:eastAsia="Times New Roman"/>
          <w:iCs/>
          <w:sz w:val="28"/>
          <w:szCs w:val="28"/>
        </w:rPr>
        <w:t> </w:t>
      </w:r>
      <w:r w:rsidRPr="0039613C">
        <w:rPr>
          <w:rFonts w:eastAsia="Times New Roman"/>
          <w:iCs/>
          <w:color w:val="000000"/>
          <w:sz w:val="28"/>
          <w:szCs w:val="28"/>
        </w:rPr>
        <w:t>và chi tiêu trong giới hạn số tiền đã nạp. Thẻ trả trước được chia thành 2 loại chính là thẻ định danh (có đầy đủ thông tin chủ thẻ, có thể rút tiền tại ATM) và thẻ không định danh (có thể mở mà không cần CMND, không thể rút tiền tại ATM).</w:t>
      </w:r>
      <w:r w:rsidR="00AC2349">
        <w:rPr>
          <w:rFonts w:eastAsia="Times New Roman"/>
          <w:iCs/>
          <w:color w:val="000000"/>
          <w:sz w:val="28"/>
          <w:szCs w:val="28"/>
        </w:rPr>
        <w:t xml:space="preserve"> Tuy nhiên </w:t>
      </w:r>
      <w:r w:rsidRPr="0039613C">
        <w:rPr>
          <w:rFonts w:eastAsia="Times New Roman"/>
          <w:iCs/>
          <w:color w:val="000000"/>
          <w:sz w:val="28"/>
          <w:szCs w:val="28"/>
        </w:rPr>
        <w:t>thẻ trả trước có thể thực hiện nhiều giao dịch nhưng không thể chuyển khoản được.</w:t>
      </w:r>
    </w:p>
    <w:p w14:paraId="544F3B52" w14:textId="2D772F9D" w:rsidR="00DA1754" w:rsidRPr="00DA1754" w:rsidRDefault="003269EC" w:rsidP="003269EC">
      <w:pPr>
        <w:spacing w:line="360" w:lineRule="auto"/>
        <w:ind w:firstLine="720"/>
        <w:jc w:val="both"/>
        <w:outlineLvl w:val="1"/>
        <w:rPr>
          <w:rFonts w:eastAsia="Times New Roman"/>
          <w:iCs/>
          <w:color w:val="000000"/>
          <w:sz w:val="28"/>
          <w:szCs w:val="28"/>
        </w:rPr>
      </w:pPr>
      <w:r w:rsidRPr="004A153D">
        <w:rPr>
          <w:color w:val="000000"/>
          <w:sz w:val="28"/>
          <w:szCs w:val="28"/>
        </w:rPr>
        <w:t>Thông tư số 17/2021/TT-NHNN</w:t>
      </w:r>
      <w:bookmarkStart w:id="1" w:name="dieu_1"/>
      <w:r>
        <w:rPr>
          <w:rFonts w:eastAsia="Times New Roman"/>
          <w:iCs/>
          <w:color w:val="000000"/>
          <w:sz w:val="28"/>
          <w:szCs w:val="28"/>
        </w:rPr>
        <w:t xml:space="preserve"> </w:t>
      </w:r>
      <w:bookmarkEnd w:id="1"/>
      <w:r>
        <w:rPr>
          <w:rFonts w:eastAsia="Times New Roman"/>
          <w:iCs/>
          <w:color w:val="000000"/>
          <w:sz w:val="28"/>
          <w:szCs w:val="28"/>
        </w:rPr>
        <w:t xml:space="preserve">bổ sung </w:t>
      </w:r>
      <w:r w:rsidR="00DA1754" w:rsidRPr="00DA1754">
        <w:rPr>
          <w:rFonts w:eastAsia="Times New Roman"/>
          <w:iCs/>
          <w:color w:val="000000"/>
          <w:sz w:val="28"/>
          <w:szCs w:val="28"/>
        </w:rPr>
        <w:t>Chủ thẻ chính là cá nhân hoặc tổ chức đứng tên thực hiện giao kết hợp đồng phát hành và sử dụng</w:t>
      </w:r>
      <w:r>
        <w:rPr>
          <w:rFonts w:eastAsia="Times New Roman"/>
          <w:iCs/>
          <w:color w:val="000000"/>
          <w:sz w:val="28"/>
          <w:szCs w:val="28"/>
        </w:rPr>
        <w:t xml:space="preserve"> thẻ với tổ chức phát hành thẻ.</w:t>
      </w:r>
    </w:p>
    <w:p w14:paraId="66900163" w14:textId="454E6F03" w:rsidR="00DA1754" w:rsidRPr="00DA1754" w:rsidRDefault="003269EC" w:rsidP="00DA1754">
      <w:pPr>
        <w:spacing w:line="360" w:lineRule="auto"/>
        <w:ind w:firstLine="720"/>
        <w:jc w:val="both"/>
        <w:outlineLvl w:val="1"/>
        <w:rPr>
          <w:rFonts w:eastAsia="Times New Roman"/>
          <w:iCs/>
          <w:color w:val="000000"/>
          <w:sz w:val="28"/>
          <w:szCs w:val="28"/>
        </w:rPr>
      </w:pPr>
      <w:r w:rsidRPr="00DA1754">
        <w:rPr>
          <w:rFonts w:eastAsia="Times New Roman"/>
          <w:iCs/>
          <w:color w:val="000000"/>
          <w:sz w:val="28"/>
          <w:szCs w:val="28"/>
        </w:rPr>
        <w:t xml:space="preserve"> </w:t>
      </w:r>
      <w:r>
        <w:rPr>
          <w:rFonts w:eastAsia="Times New Roman"/>
          <w:iCs/>
          <w:color w:val="000000"/>
          <w:sz w:val="28"/>
          <w:szCs w:val="28"/>
        </w:rPr>
        <w:t xml:space="preserve">Tổ chức phát hành thẻ </w:t>
      </w:r>
      <w:r w:rsidR="00DA1754" w:rsidRPr="00DA1754">
        <w:rPr>
          <w:rFonts w:eastAsia="Times New Roman"/>
          <w:iCs/>
          <w:color w:val="000000"/>
          <w:sz w:val="28"/>
          <w:szCs w:val="28"/>
        </w:rPr>
        <w:t xml:space="preserve">phải tuân thủ Tiêu chuẩn cơ sở về thẻ chip nội địa khi phát hành thẻ có BIN do Ngân hàng Nhà nước cấp theo lộ trình chuyển đổi quy định tại Điều 27b Thông tư này. </w:t>
      </w:r>
      <w:r w:rsidR="00E24767">
        <w:rPr>
          <w:rFonts w:eastAsia="Times New Roman"/>
          <w:iCs/>
          <w:color w:val="000000"/>
          <w:sz w:val="28"/>
          <w:szCs w:val="28"/>
        </w:rPr>
        <w:t>Tổ chức phát hành thẻ</w:t>
      </w:r>
      <w:r w:rsidR="00DA1754" w:rsidRPr="00DA1754">
        <w:rPr>
          <w:rFonts w:eastAsia="Times New Roman"/>
          <w:iCs/>
          <w:color w:val="000000"/>
          <w:sz w:val="28"/>
          <w:szCs w:val="28"/>
        </w:rPr>
        <w:t xml:space="preserve"> trong thời gian kiểm soát đặc biệt thực hiện lộ trình chuyển đổi theo quyết định của Thống đốc Ngân hàng Nhà nước đối với từng trường h</w:t>
      </w:r>
      <w:r w:rsidR="00E24767">
        <w:rPr>
          <w:rFonts w:eastAsia="Times New Roman"/>
          <w:iCs/>
          <w:color w:val="000000"/>
          <w:sz w:val="28"/>
          <w:szCs w:val="28"/>
        </w:rPr>
        <w:t>ợp cụ thể.</w:t>
      </w:r>
    </w:p>
    <w:p w14:paraId="2B579A97" w14:textId="3DC05958" w:rsidR="00DA1754" w:rsidRPr="00DA1754" w:rsidRDefault="00DA1754" w:rsidP="00DA1754">
      <w:pPr>
        <w:spacing w:line="360" w:lineRule="auto"/>
        <w:ind w:firstLine="720"/>
        <w:jc w:val="both"/>
        <w:outlineLvl w:val="1"/>
        <w:rPr>
          <w:rFonts w:eastAsia="Times New Roman"/>
          <w:iCs/>
          <w:color w:val="000000"/>
          <w:sz w:val="28"/>
          <w:szCs w:val="28"/>
        </w:rPr>
      </w:pPr>
      <w:r w:rsidRPr="00DA1754">
        <w:rPr>
          <w:rFonts w:eastAsia="Times New Roman"/>
          <w:iCs/>
          <w:color w:val="000000"/>
          <w:sz w:val="28"/>
          <w:szCs w:val="28"/>
        </w:rPr>
        <w:t xml:space="preserve">Trước khi giao kết hợp đồng phát hành và sử dụng thẻ với khách hàng, </w:t>
      </w:r>
      <w:r w:rsidR="003269EC">
        <w:rPr>
          <w:rFonts w:eastAsia="Times New Roman"/>
          <w:iCs/>
          <w:color w:val="000000"/>
          <w:sz w:val="28"/>
          <w:szCs w:val="28"/>
        </w:rPr>
        <w:t xml:space="preserve">tổ chức phát hành thẻ </w:t>
      </w:r>
      <w:r w:rsidRPr="00DA1754">
        <w:rPr>
          <w:rFonts w:eastAsia="Times New Roman"/>
          <w:iCs/>
          <w:color w:val="000000"/>
          <w:sz w:val="28"/>
          <w:szCs w:val="28"/>
        </w:rPr>
        <w:t xml:space="preserve">yêu cầu chủ thẻ cung cấp đầy đủ các thông tin, giấy tờ cần thiết nhằm nhận biết khách hàng theo quy định của pháp luật về phòng, chống rửa tiền. Trường hợp phát hành thẻ cho người nước ngoài, </w:t>
      </w:r>
      <w:r w:rsidR="00E24767">
        <w:rPr>
          <w:rFonts w:eastAsia="Times New Roman"/>
          <w:iCs/>
          <w:color w:val="000000"/>
          <w:sz w:val="28"/>
          <w:szCs w:val="28"/>
        </w:rPr>
        <w:t>tổ chức phát hành thẻ</w:t>
      </w:r>
      <w:r w:rsidRPr="00DA1754">
        <w:rPr>
          <w:rFonts w:eastAsia="Times New Roman"/>
          <w:iCs/>
          <w:color w:val="000000"/>
          <w:sz w:val="28"/>
          <w:szCs w:val="28"/>
        </w:rPr>
        <w:t xml:space="preserve"> yêu cầu khách hàng cung cấp các giấy tờ cần thiết để xác minh thời hạn cư trú tại Việt Nam gồm: hộ chiếu, thị thực, giấy chứng nhận miễn thị thực nhập cảnh, giấy chứng nhận tạm trú hoặc thẻ tạm trú hoặc thẻ thường trú, hợp đồng lao động hoặc quyết định trúng tuyển, hoặc các giấy tờ khác chứng minh thời hạn cư trú tại Việt Nam. Các giấy tờ cần thiết của khách hàng khi giao kết hợp đồng phát hành và sử dụng thẻ là bản chính hoặc bản sao kèm bản chính để đối chiếu hoặc bản sao điện tử hoặc bản sao được chứng </w:t>
      </w:r>
      <w:r w:rsidRPr="00DA1754">
        <w:rPr>
          <w:rFonts w:eastAsia="Times New Roman"/>
          <w:iCs/>
          <w:color w:val="000000"/>
          <w:sz w:val="28"/>
          <w:szCs w:val="28"/>
        </w:rPr>
        <w:lastRenderedPageBreak/>
        <w:t xml:space="preserve">thực hoặc bản sao cấp từ sổ gốc theo quy định của pháp luật. Đối với trường hợp xuất trình bản chính để đối chiếu, </w:t>
      </w:r>
      <w:r w:rsidR="00E24767">
        <w:rPr>
          <w:rFonts w:eastAsia="Times New Roman"/>
          <w:iCs/>
          <w:color w:val="000000"/>
          <w:sz w:val="28"/>
          <w:szCs w:val="28"/>
        </w:rPr>
        <w:t>tổ chức phát hành thẻ</w:t>
      </w:r>
      <w:r w:rsidRPr="00DA1754">
        <w:rPr>
          <w:rFonts w:eastAsia="Times New Roman"/>
          <w:iCs/>
          <w:color w:val="000000"/>
          <w:sz w:val="28"/>
          <w:szCs w:val="28"/>
        </w:rPr>
        <w:t xml:space="preserve"> phải xác nhận vào bản sao và chịu trách nhiệm về tính chính xác của bản sao so với bản chính. Trường hợp giấy tờ là bản sao điện tử, </w:t>
      </w:r>
      <w:r w:rsidR="00E24767">
        <w:rPr>
          <w:rFonts w:eastAsia="Times New Roman"/>
          <w:iCs/>
          <w:color w:val="000000"/>
          <w:sz w:val="28"/>
          <w:szCs w:val="28"/>
        </w:rPr>
        <w:t>tổ chức phát hành thẻ</w:t>
      </w:r>
      <w:r w:rsidRPr="00DA1754">
        <w:rPr>
          <w:rFonts w:eastAsia="Times New Roman"/>
          <w:iCs/>
          <w:color w:val="000000"/>
          <w:sz w:val="28"/>
          <w:szCs w:val="28"/>
        </w:rPr>
        <w:t xml:space="preserve"> phải có giải pháp, công nghệ để thu thập, kiểm tra và đối chiếu, đảm bảo bản sao điện tử có nội dung đầy đủ, chính xác và khớp đúng so với bản chí</w:t>
      </w:r>
      <w:r w:rsidR="00E24767">
        <w:rPr>
          <w:rFonts w:eastAsia="Times New Roman"/>
          <w:iCs/>
          <w:color w:val="000000"/>
          <w:sz w:val="28"/>
          <w:szCs w:val="28"/>
        </w:rPr>
        <w:t>nh theo quy định của pháp luật.</w:t>
      </w:r>
    </w:p>
    <w:p w14:paraId="2CF41A06" w14:textId="664EFDFD" w:rsidR="0039613C" w:rsidRPr="00E24767" w:rsidRDefault="00E24767" w:rsidP="00E24767">
      <w:pPr>
        <w:spacing w:line="360" w:lineRule="auto"/>
        <w:ind w:firstLine="720"/>
        <w:jc w:val="both"/>
        <w:rPr>
          <w:color w:val="000000"/>
          <w:sz w:val="28"/>
          <w:szCs w:val="28"/>
        </w:rPr>
      </w:pPr>
      <w:r>
        <w:rPr>
          <w:rFonts w:eastAsia="Times New Roman"/>
          <w:iCs/>
          <w:color w:val="000000"/>
          <w:sz w:val="28"/>
          <w:szCs w:val="28"/>
        </w:rPr>
        <w:t xml:space="preserve">Tổ chức phát hành thẻ </w:t>
      </w:r>
      <w:r w:rsidRPr="00E24767">
        <w:rPr>
          <w:color w:val="000000"/>
          <w:sz w:val="28"/>
          <w:szCs w:val="28"/>
        </w:rPr>
        <w:t>có thể thực hiện phát hành thẻ ghi nợ, thẻ tín dụng, thẻ trả trước định danh đối với chủ thẻ chính là cá nhân bằng phương thức điện tử. Thủ tục phát hành thẻ của cá nhân bằng phương thức điện tử được thực hiện theo quy định tại Điều này và Điề</w:t>
      </w:r>
      <w:r>
        <w:rPr>
          <w:color w:val="000000"/>
          <w:sz w:val="28"/>
          <w:szCs w:val="28"/>
        </w:rPr>
        <w:t>u 10a Thông tư này.</w:t>
      </w:r>
    </w:p>
    <w:p w14:paraId="1585B3C9" w14:textId="12000364" w:rsidR="00E8686C" w:rsidRPr="004A153D" w:rsidRDefault="0039613C" w:rsidP="0039613C">
      <w:pPr>
        <w:spacing w:line="360" w:lineRule="auto"/>
        <w:ind w:firstLine="720"/>
        <w:jc w:val="both"/>
        <w:rPr>
          <w:color w:val="000000"/>
          <w:sz w:val="28"/>
          <w:szCs w:val="28"/>
        </w:rPr>
      </w:pPr>
      <w:r w:rsidRPr="004A153D">
        <w:rPr>
          <w:color w:val="000000"/>
          <w:sz w:val="28"/>
          <w:szCs w:val="28"/>
        </w:rPr>
        <w:t xml:space="preserve"> </w:t>
      </w:r>
      <w:r w:rsidR="00BB4074" w:rsidRPr="004A153D">
        <w:rPr>
          <w:color w:val="000000"/>
          <w:sz w:val="28"/>
          <w:szCs w:val="28"/>
        </w:rPr>
        <w:t xml:space="preserve">Theo đó, </w:t>
      </w:r>
      <w:r w:rsidR="00E8686C" w:rsidRPr="004A153D">
        <w:rPr>
          <w:color w:val="000000"/>
          <w:sz w:val="28"/>
          <w:szCs w:val="28"/>
        </w:rPr>
        <w:t>Thông tư số 17/2021/TT-NHNN quy định: Tổ chức phát hành thẻ phải xây dựng, ban hành, công khai quy trình, thủ tục phát hành thẻ của cá nhân bằng phương thức điện tử phù hợp với quy định</w:t>
      </w:r>
      <w:r w:rsidR="00D65313" w:rsidRPr="004A153D">
        <w:rPr>
          <w:color w:val="000000"/>
          <w:sz w:val="28"/>
          <w:szCs w:val="28"/>
        </w:rPr>
        <w:t xml:space="preserve"> tại điều 10a của thông tư này</w:t>
      </w:r>
      <w:r w:rsidR="00E8686C" w:rsidRPr="004A153D">
        <w:rPr>
          <w:color w:val="000000"/>
          <w:sz w:val="28"/>
          <w:szCs w:val="28"/>
        </w:rPr>
        <w:t>, pháp luật về phòng, chống rửa tiền, pháp luật về giao dịch điện tử, các quy định pháp luật liên quan về bảo đảm an toàn, bảo mật thông tin khách hàng và an toàn hoạt động của tổ chức phát hành thẻ, bao gồ</w:t>
      </w:r>
      <w:r w:rsidR="00D65313" w:rsidRPr="004A153D">
        <w:rPr>
          <w:color w:val="000000"/>
          <w:sz w:val="28"/>
          <w:szCs w:val="28"/>
        </w:rPr>
        <w:t>m</w:t>
      </w:r>
      <w:r w:rsidR="00E8686C" w:rsidRPr="004A153D">
        <w:rPr>
          <w:color w:val="000000"/>
          <w:sz w:val="28"/>
          <w:szCs w:val="28"/>
        </w:rPr>
        <w:t xml:space="preserve"> các bước</w:t>
      </w:r>
      <w:r w:rsidR="00D65313" w:rsidRPr="004A153D">
        <w:rPr>
          <w:color w:val="000000"/>
          <w:sz w:val="28"/>
          <w:szCs w:val="28"/>
        </w:rPr>
        <w:t xml:space="preserve"> tối thiểu</w:t>
      </w:r>
      <w:r w:rsidR="00E8686C" w:rsidRPr="004A153D">
        <w:rPr>
          <w:color w:val="000000"/>
          <w:sz w:val="28"/>
          <w:szCs w:val="28"/>
        </w:rPr>
        <w:t xml:space="preserve"> như sau:</w:t>
      </w:r>
    </w:p>
    <w:p w14:paraId="454ED872" w14:textId="74322076" w:rsidR="00E8686C" w:rsidRPr="004A153D" w:rsidRDefault="00E8686C" w:rsidP="00BB4074">
      <w:pPr>
        <w:spacing w:line="360" w:lineRule="auto"/>
        <w:ind w:firstLine="720"/>
        <w:jc w:val="both"/>
        <w:rPr>
          <w:color w:val="000000"/>
          <w:sz w:val="28"/>
          <w:szCs w:val="28"/>
        </w:rPr>
      </w:pPr>
      <w:r w:rsidRPr="004A153D">
        <w:rPr>
          <w:color w:val="000000"/>
          <w:sz w:val="28"/>
          <w:szCs w:val="28"/>
        </w:rPr>
        <w:t xml:space="preserve">- </w:t>
      </w:r>
      <w:r w:rsidR="00D65313" w:rsidRPr="004A153D">
        <w:rPr>
          <w:color w:val="000000"/>
          <w:sz w:val="28"/>
          <w:szCs w:val="28"/>
        </w:rPr>
        <w:t>Thứ nhất, t</w:t>
      </w:r>
      <w:r w:rsidRPr="004A153D">
        <w:rPr>
          <w:color w:val="000000"/>
          <w:sz w:val="28"/>
          <w:szCs w:val="28"/>
        </w:rPr>
        <w:t>hu thập thông tin, giấy tờ cần thiết trước khi giao kết hợp đồng phát hành và sử dụng thẻ với khách hàng nhằm nhận biết khách hàng và xác định hạn mức giao dịch của thẻ ghi nợ, thẻ trả trước định danh, thẻ tín dụng theo quy đị</w:t>
      </w:r>
      <w:r w:rsidR="00D65313" w:rsidRPr="004A153D">
        <w:rPr>
          <w:color w:val="000000"/>
          <w:sz w:val="28"/>
          <w:szCs w:val="28"/>
        </w:rPr>
        <w:t>nh.</w:t>
      </w:r>
    </w:p>
    <w:p w14:paraId="7CD2709E" w14:textId="03598E4B" w:rsidR="00E8686C" w:rsidRPr="004A153D" w:rsidRDefault="00E8686C" w:rsidP="00D65313">
      <w:pPr>
        <w:spacing w:line="360" w:lineRule="auto"/>
        <w:ind w:firstLine="720"/>
        <w:jc w:val="both"/>
        <w:rPr>
          <w:color w:val="000000"/>
          <w:sz w:val="28"/>
          <w:szCs w:val="28"/>
        </w:rPr>
      </w:pPr>
      <w:r w:rsidRPr="004A153D">
        <w:rPr>
          <w:color w:val="000000"/>
          <w:sz w:val="28"/>
          <w:szCs w:val="28"/>
        </w:rPr>
        <w:t>-</w:t>
      </w:r>
      <w:r w:rsidR="00D65313" w:rsidRPr="004A153D">
        <w:rPr>
          <w:color w:val="000000"/>
          <w:sz w:val="28"/>
          <w:szCs w:val="28"/>
        </w:rPr>
        <w:t xml:space="preserve"> Thứ hai, t</w:t>
      </w:r>
      <w:r w:rsidRPr="004A153D">
        <w:rPr>
          <w:color w:val="000000"/>
          <w:sz w:val="28"/>
          <w:szCs w:val="28"/>
        </w:rPr>
        <w:t>hực hiện kiểm tra, đối chiếu và xác minh thông tin nhận biế</w:t>
      </w:r>
      <w:r w:rsidR="00D65313" w:rsidRPr="004A153D">
        <w:rPr>
          <w:color w:val="000000"/>
          <w:sz w:val="28"/>
          <w:szCs w:val="28"/>
        </w:rPr>
        <w:t>t khách hang.</w:t>
      </w:r>
    </w:p>
    <w:p w14:paraId="30374A1F" w14:textId="1BCF54DC" w:rsidR="00E8686C" w:rsidRPr="004A153D" w:rsidRDefault="00E8686C" w:rsidP="00BB4074">
      <w:pPr>
        <w:spacing w:line="360" w:lineRule="auto"/>
        <w:ind w:firstLine="720"/>
        <w:jc w:val="both"/>
        <w:rPr>
          <w:color w:val="000000"/>
          <w:sz w:val="28"/>
          <w:szCs w:val="28"/>
        </w:rPr>
      </w:pPr>
      <w:r w:rsidRPr="004A153D">
        <w:rPr>
          <w:color w:val="000000"/>
          <w:sz w:val="28"/>
          <w:szCs w:val="28"/>
        </w:rPr>
        <w:t>-</w:t>
      </w:r>
      <w:r w:rsidR="00D65313" w:rsidRPr="004A153D">
        <w:rPr>
          <w:color w:val="000000"/>
          <w:sz w:val="28"/>
          <w:szCs w:val="28"/>
        </w:rPr>
        <w:t>Thứ ba, c</w:t>
      </w:r>
      <w:r w:rsidRPr="004A153D">
        <w:rPr>
          <w:color w:val="000000"/>
          <w:sz w:val="28"/>
          <w:szCs w:val="28"/>
        </w:rPr>
        <w:t>ảnh báo cho khách hàng về các hành vi không được thực hiện trong quá trình mở và sử dụng thẻ được phát hành bằng phương thức điện tử</w:t>
      </w:r>
      <w:r w:rsidR="00D65313" w:rsidRPr="004A153D">
        <w:rPr>
          <w:color w:val="000000"/>
          <w:sz w:val="28"/>
          <w:szCs w:val="28"/>
        </w:rPr>
        <w:t>.</w:t>
      </w:r>
    </w:p>
    <w:p w14:paraId="54235051" w14:textId="1D0A008D" w:rsidR="00E8686C" w:rsidRPr="004A153D" w:rsidRDefault="00E8686C" w:rsidP="00BB4074">
      <w:pPr>
        <w:spacing w:line="360" w:lineRule="auto"/>
        <w:ind w:firstLine="720"/>
        <w:jc w:val="both"/>
        <w:rPr>
          <w:color w:val="000000"/>
          <w:sz w:val="28"/>
          <w:szCs w:val="28"/>
        </w:rPr>
      </w:pPr>
      <w:r w:rsidRPr="004A153D">
        <w:rPr>
          <w:color w:val="000000"/>
          <w:sz w:val="28"/>
          <w:szCs w:val="28"/>
        </w:rPr>
        <w:t xml:space="preserve">- </w:t>
      </w:r>
      <w:r w:rsidR="00D65313" w:rsidRPr="004A153D">
        <w:rPr>
          <w:color w:val="000000"/>
          <w:sz w:val="28"/>
          <w:szCs w:val="28"/>
        </w:rPr>
        <w:t>Thứ tư, c</w:t>
      </w:r>
      <w:r w:rsidRPr="004A153D">
        <w:rPr>
          <w:color w:val="000000"/>
          <w:sz w:val="28"/>
          <w:szCs w:val="28"/>
        </w:rPr>
        <w:t>ung cấp cho khách hàng hợp đồng phát hành và sử dụng thẻ theo các nội dung quy định và thực hiện giao kết hợp đồng phát hành và sử dụng thẻ với khách hàng bảo đảm quy định về pháp luật giao dịch điện tử</w:t>
      </w:r>
      <w:r w:rsidR="00A56023" w:rsidRPr="004A153D">
        <w:rPr>
          <w:color w:val="000000"/>
          <w:sz w:val="28"/>
          <w:szCs w:val="28"/>
        </w:rPr>
        <w:t>.</w:t>
      </w:r>
    </w:p>
    <w:p w14:paraId="69CD1115" w14:textId="74E11FB5" w:rsidR="00E8686C" w:rsidRPr="004A153D" w:rsidRDefault="00E8686C" w:rsidP="00BB4074">
      <w:pPr>
        <w:spacing w:line="360" w:lineRule="auto"/>
        <w:ind w:firstLine="720"/>
        <w:jc w:val="both"/>
        <w:rPr>
          <w:color w:val="000000"/>
          <w:sz w:val="28"/>
          <w:szCs w:val="28"/>
        </w:rPr>
      </w:pPr>
      <w:r w:rsidRPr="004A153D">
        <w:rPr>
          <w:color w:val="000000"/>
          <w:sz w:val="28"/>
          <w:szCs w:val="28"/>
        </w:rPr>
        <w:lastRenderedPageBreak/>
        <w:t xml:space="preserve">- </w:t>
      </w:r>
      <w:r w:rsidR="00A56023" w:rsidRPr="004A153D">
        <w:rPr>
          <w:color w:val="000000"/>
          <w:sz w:val="28"/>
          <w:szCs w:val="28"/>
        </w:rPr>
        <w:t>Thứ năm, t</w:t>
      </w:r>
      <w:r w:rsidRPr="004A153D">
        <w:rPr>
          <w:color w:val="000000"/>
          <w:sz w:val="28"/>
          <w:szCs w:val="28"/>
        </w:rPr>
        <w:t>hông báo tên tổ chức phát hành thẻ, tên hoặc nhãn hiệu thương mại của thẻ, số thẻ, thời hạn hiệu lực (hoặc thời điểm bắt đầu có hiệu lực) của thẻ, tên chủ thẻ, phạm vi và chức năng sử dụng của thẻ, các điều cấm theo quy định pháp luật khi sử dụng thẻ cho khách hàng.</w:t>
      </w:r>
    </w:p>
    <w:p w14:paraId="7B1554C7" w14:textId="7F72D2CF" w:rsidR="00E8686C" w:rsidRPr="004A153D" w:rsidRDefault="00A56023" w:rsidP="00BB4074">
      <w:pPr>
        <w:spacing w:line="360" w:lineRule="auto"/>
        <w:ind w:firstLine="720"/>
        <w:jc w:val="both"/>
        <w:rPr>
          <w:color w:val="000000"/>
          <w:sz w:val="28"/>
          <w:szCs w:val="28"/>
        </w:rPr>
      </w:pPr>
      <w:r w:rsidRPr="004A153D">
        <w:rPr>
          <w:color w:val="000000"/>
          <w:sz w:val="28"/>
          <w:szCs w:val="28"/>
        </w:rPr>
        <w:t>Thông tư số 17/2021/TT-NHNN cũng quy định rõ t</w:t>
      </w:r>
      <w:r w:rsidR="00E8686C" w:rsidRPr="004A153D">
        <w:rPr>
          <w:color w:val="000000"/>
          <w:sz w:val="28"/>
          <w:szCs w:val="28"/>
        </w:rPr>
        <w:t>ổ chức phát hành thẻ được quyết định biện pháp, hình thức, công nghệ để nhận biết và xác minh khách hàng phục vụ việc phát hành thẻ bằng phương thức điện tử; chịu trách nhiệm về rủi ro phát sinh (nếu có) và phải đáp ứng các yêu cầu tối thiểu quy đị</w:t>
      </w:r>
      <w:r w:rsidRPr="004A153D">
        <w:rPr>
          <w:color w:val="000000"/>
          <w:sz w:val="28"/>
          <w:szCs w:val="28"/>
        </w:rPr>
        <w:t>nh như sau:</w:t>
      </w:r>
    </w:p>
    <w:p w14:paraId="6392B147" w14:textId="008A6D99" w:rsidR="00A56023" w:rsidRPr="004A153D" w:rsidRDefault="00A56023" w:rsidP="00A56023">
      <w:pPr>
        <w:spacing w:line="360" w:lineRule="auto"/>
        <w:ind w:firstLine="720"/>
        <w:jc w:val="both"/>
        <w:rPr>
          <w:color w:val="000000"/>
          <w:sz w:val="28"/>
          <w:szCs w:val="28"/>
        </w:rPr>
      </w:pPr>
      <w:r w:rsidRPr="004A153D">
        <w:rPr>
          <w:color w:val="000000"/>
          <w:sz w:val="28"/>
          <w:szCs w:val="28"/>
        </w:rPr>
        <w:t xml:space="preserve">Đầu tiên, có giải pháp, công nghệ để thu thập, kiểm tra, đối chiếu,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pháp luật về phòng, chống rửa tiền, theo yêu cầu của </w:t>
      </w:r>
      <w:r w:rsidR="00E24767">
        <w:rPr>
          <w:rFonts w:eastAsia="Times New Roman"/>
          <w:iCs/>
          <w:color w:val="000000"/>
          <w:sz w:val="28"/>
          <w:szCs w:val="28"/>
        </w:rPr>
        <w:t>tổ chức phát hành thẻ</w:t>
      </w:r>
      <w:r w:rsidRPr="004A153D">
        <w:rPr>
          <w:color w:val="000000"/>
          <w:sz w:val="28"/>
          <w:szCs w:val="28"/>
        </w:rPr>
        <w:t xml:space="preserve"> hoặc với dữ liệu định danh cá nhân được xác thực bởi cơ quan nhà nước có thẩm quyền hoặc bởi tổ chức tín dụng, chi nhánh ngân hàng nước ngoài khác hoặc bởi tổ chức được cung ứng dịch vụ định danh và xác thực điện tử.</w:t>
      </w:r>
    </w:p>
    <w:p w14:paraId="797A15FE" w14:textId="2FFBBCA3" w:rsidR="00A56023" w:rsidRPr="004A153D" w:rsidRDefault="00A56023" w:rsidP="00A56023">
      <w:pPr>
        <w:spacing w:line="360" w:lineRule="auto"/>
        <w:ind w:firstLine="720"/>
        <w:jc w:val="both"/>
        <w:rPr>
          <w:color w:val="000000"/>
          <w:sz w:val="28"/>
          <w:szCs w:val="28"/>
        </w:rPr>
      </w:pPr>
      <w:r w:rsidRPr="004A153D">
        <w:rPr>
          <w:color w:val="000000"/>
          <w:sz w:val="28"/>
          <w:szCs w:val="28"/>
        </w:rPr>
        <w:t>Tiếp theo, có biện pháp kỹ thuật để xác nhận việc khách hàng đã được định danh đồng ý với nội dung tại hợp đồng phát hành và sử dụng thẻ;  Xây dựng quy trình quản lý, kiểm soát, đánh giá rủi ro, trong đó có biện pháp ngăn chặn các hành vi mạo danh, can thiệp, chỉnh sửa, làm sai lệch việc xác minh thông tin nhận biết khách hàng trước, trong và sau khi phát hành thẻ cho khách hàng; biện pháp để kiểm tra, xác minh thông tin nhận biết khách hàng đảm bảo khách hàng thực hiện giao dịch thẻ được phát hành bằng phương thức điện tử là chủ thẻ chính. Quy trình quản lý, kiểm soát rủi ro phải thường xuyên được rà soát, hoàn thiện dựa trên những thông tin, dữ liệu cập nhật trong quá trình cung ứng dịch vụ;</w:t>
      </w:r>
    </w:p>
    <w:p w14:paraId="0516B5B8" w14:textId="0D6A6A8F" w:rsidR="00A56023" w:rsidRPr="004A153D" w:rsidRDefault="00A56023" w:rsidP="00A56023">
      <w:pPr>
        <w:spacing w:line="360" w:lineRule="auto"/>
        <w:ind w:firstLine="720"/>
        <w:jc w:val="both"/>
        <w:rPr>
          <w:color w:val="000000"/>
          <w:sz w:val="28"/>
          <w:szCs w:val="28"/>
        </w:rPr>
      </w:pPr>
      <w:r w:rsidRPr="004A153D">
        <w:rPr>
          <w:color w:val="000000"/>
          <w:sz w:val="28"/>
          <w:szCs w:val="28"/>
        </w:rPr>
        <w:lastRenderedPageBreak/>
        <w:t>Cuối cùng, lưu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phòng, chống rửa tiền.</w:t>
      </w:r>
    </w:p>
    <w:p w14:paraId="730E51B9" w14:textId="77777777" w:rsidR="00E24767" w:rsidRDefault="00B8661A" w:rsidP="00A56023">
      <w:pPr>
        <w:spacing w:line="360" w:lineRule="auto"/>
        <w:ind w:firstLine="720"/>
        <w:jc w:val="both"/>
        <w:rPr>
          <w:color w:val="000000"/>
          <w:sz w:val="28"/>
          <w:szCs w:val="28"/>
        </w:rPr>
      </w:pPr>
      <w:r w:rsidRPr="004A153D">
        <w:rPr>
          <w:color w:val="000000"/>
          <w:sz w:val="28"/>
          <w:szCs w:val="28"/>
        </w:rPr>
        <w:t>Và thông tư cũng quy định t</w:t>
      </w:r>
      <w:r w:rsidR="00E8686C" w:rsidRPr="004A153D">
        <w:rPr>
          <w:color w:val="000000"/>
          <w:sz w:val="28"/>
          <w:szCs w:val="28"/>
        </w:rPr>
        <w:t>ổ chức phát hành thẻ căn cứ điều kiện công nghệ áp dụng khi nhận biết và xác minh khách hàng để đánh giá rủi ro, quyết định áp dụng hạn mức giao dịch của khách hàng mở bằng phương thức điện tử nhưng phải bảo đảm tổng hạn mức giao dịch (bao gồm rút tiền mặt, chuyển khoản, thanh toán) của thẻ ghi nợ hoặc thẻ trả trước định danh hoặc thẻ tín dụng của một khách hàng không vượt quá 100 triệu đồng Việt Nam trong một tháng và không thực hiện rút ngoại tệ tiền mặt tại nước ngoài, thanh toán quốc tế.</w:t>
      </w:r>
      <w:r w:rsidR="00A56023" w:rsidRPr="004A153D">
        <w:rPr>
          <w:color w:val="000000"/>
          <w:sz w:val="28"/>
          <w:szCs w:val="28"/>
        </w:rPr>
        <w:t xml:space="preserve"> </w:t>
      </w:r>
    </w:p>
    <w:p w14:paraId="1C736744" w14:textId="03DA3F97" w:rsidR="00E24767" w:rsidRPr="00E24767" w:rsidRDefault="00E24767" w:rsidP="00E24767">
      <w:pPr>
        <w:spacing w:line="360" w:lineRule="auto"/>
        <w:ind w:firstLine="720"/>
        <w:jc w:val="both"/>
        <w:rPr>
          <w:color w:val="000000"/>
          <w:sz w:val="28"/>
          <w:szCs w:val="28"/>
        </w:rPr>
      </w:pPr>
      <w:r w:rsidRPr="004A153D">
        <w:rPr>
          <w:color w:val="000000"/>
          <w:sz w:val="28"/>
          <w:szCs w:val="28"/>
        </w:rPr>
        <w:t xml:space="preserve">Thông tư số 17/2021/TT-NHNN </w:t>
      </w:r>
      <w:r>
        <w:rPr>
          <w:color w:val="000000"/>
          <w:sz w:val="28"/>
          <w:szCs w:val="28"/>
        </w:rPr>
        <w:t xml:space="preserve">quy định </w:t>
      </w:r>
      <w:r>
        <w:rPr>
          <w:rFonts w:eastAsia="Times New Roman"/>
          <w:iCs/>
          <w:color w:val="000000"/>
          <w:sz w:val="28"/>
          <w:szCs w:val="28"/>
        </w:rPr>
        <w:t>tổ chức phát hành thẻ</w:t>
      </w:r>
      <w:r w:rsidRPr="00E24767">
        <w:rPr>
          <w:color w:val="000000"/>
          <w:sz w:val="28"/>
          <w:szCs w:val="28"/>
        </w:rPr>
        <w:t xml:space="preserve"> được quyết định áp dụng hạn mức giao dịch của thẻ mở bằng phương thức điện tử cao hơn hạn mức quy định tại khoản 3 Điều này và được thực hiện rút ngoại tệ tiền mặt tại nước ngoài, thanh toán quốc tế khi thực hiện một trong các biện pháp sau:</w:t>
      </w:r>
      <w:r>
        <w:rPr>
          <w:color w:val="000000"/>
          <w:sz w:val="28"/>
          <w:szCs w:val="28"/>
        </w:rPr>
        <w:t xml:space="preserve"> </w:t>
      </w:r>
      <w:r>
        <w:rPr>
          <w:rFonts w:eastAsia="Times New Roman"/>
          <w:iCs/>
          <w:color w:val="000000"/>
          <w:sz w:val="28"/>
          <w:szCs w:val="28"/>
        </w:rPr>
        <w:t>Tổ chức phát hành thẻ</w:t>
      </w:r>
      <w:r w:rsidRPr="00E24767">
        <w:rPr>
          <w:color w:val="000000"/>
          <w:sz w:val="28"/>
          <w:szCs w:val="28"/>
        </w:rPr>
        <w:t xml:space="preserve"> áp dụng công nghệ để kiểm tra, đối chiếu đặc điểm sinh trắc học của khách hàng với dữ liệu sinh trắc học công dân thông qua cơ sở dữ liệu căn cước công dân;</w:t>
      </w:r>
      <w:r>
        <w:rPr>
          <w:color w:val="000000"/>
          <w:sz w:val="28"/>
          <w:szCs w:val="28"/>
        </w:rPr>
        <w:t xml:space="preserve"> </w:t>
      </w:r>
      <w:r>
        <w:rPr>
          <w:rFonts w:eastAsia="Times New Roman"/>
          <w:iCs/>
          <w:color w:val="000000"/>
          <w:sz w:val="28"/>
          <w:szCs w:val="28"/>
        </w:rPr>
        <w:t>Tổ chức phát hành thẻ</w:t>
      </w:r>
      <w:r w:rsidRPr="00E24767">
        <w:rPr>
          <w:color w:val="000000"/>
          <w:sz w:val="28"/>
          <w:szCs w:val="28"/>
        </w:rPr>
        <w:t xml:space="preserve"> áp dụng giải pháp cuộc gọi ghi hình (video call) để thực hiện thu thập, kiểm tra, xác minh thông tin nhận biết khách hàng trong quá trình phát hành thẻ đảm bảo hiệu quả như quy trình nhận biết, xác minh thông tin khách hàng qua phương thức gặp mặt trực tiếp. Giải pháp video call phải đáp ứng tối thiểu các yêu cầu sau: đảm bảo an toàn, bảo mật; độ phân giải cao; tín hiệu liên tục; cho phép </w:t>
      </w:r>
      <w:r w:rsidRPr="00E24767">
        <w:rPr>
          <w:color w:val="000000"/>
          <w:sz w:val="28"/>
          <w:szCs w:val="28"/>
        </w:rPr>
        <w:lastRenderedPageBreak/>
        <w:t>tương tác âm thanh, hình ảnh với khách hàng theo thời gian thực để đảm bảo nhận diện người thật; lưu trữ toàn bộ dữ liệu âm thanh, hình ảnh hoặc bản ghi hình, ghi âm trong quá trình phát hành thẻ cho khách hàng;</w:t>
      </w:r>
      <w:r>
        <w:rPr>
          <w:color w:val="000000"/>
          <w:sz w:val="28"/>
          <w:szCs w:val="28"/>
        </w:rPr>
        <w:t xml:space="preserve"> </w:t>
      </w:r>
      <w:r w:rsidRPr="00E24767">
        <w:rPr>
          <w:color w:val="000000"/>
          <w:sz w:val="28"/>
          <w:szCs w:val="28"/>
        </w:rPr>
        <w:t xml:space="preserve">Sau khi </w:t>
      </w:r>
      <w:r>
        <w:rPr>
          <w:rFonts w:eastAsia="Times New Roman"/>
          <w:iCs/>
          <w:color w:val="000000"/>
          <w:sz w:val="28"/>
          <w:szCs w:val="28"/>
        </w:rPr>
        <w:t>Tổ chức phát hành thẻ</w:t>
      </w:r>
      <w:r w:rsidRPr="00E24767">
        <w:rPr>
          <w:color w:val="000000"/>
          <w:sz w:val="28"/>
          <w:szCs w:val="28"/>
        </w:rPr>
        <w:t xml:space="preserve"> đã thực hiện việc nhận biết, xác minh thông tin khách hàng thông qua gặp mặt trực tiếp chủ thẻ chính là cá nhân.</w:t>
      </w:r>
    </w:p>
    <w:p w14:paraId="3CF45196" w14:textId="44EB9557" w:rsidR="00E24767" w:rsidRPr="00E24767" w:rsidRDefault="00E24767" w:rsidP="0099625F">
      <w:pPr>
        <w:spacing w:line="360" w:lineRule="auto"/>
        <w:ind w:firstLine="720"/>
        <w:jc w:val="both"/>
        <w:rPr>
          <w:color w:val="000000"/>
          <w:sz w:val="28"/>
          <w:szCs w:val="28"/>
        </w:rPr>
      </w:pPr>
      <w:r>
        <w:rPr>
          <w:color w:val="000000"/>
          <w:sz w:val="28"/>
          <w:szCs w:val="28"/>
        </w:rPr>
        <w:t>Thông tư này cũng quy định v</w:t>
      </w:r>
      <w:r w:rsidRPr="00E24767">
        <w:rPr>
          <w:color w:val="000000"/>
          <w:sz w:val="28"/>
          <w:szCs w:val="28"/>
        </w:rPr>
        <w:t>iệc phát hành thẻ bằng phương thức điện tử</w:t>
      </w:r>
      <w:r w:rsidR="0099625F">
        <w:rPr>
          <w:color w:val="000000"/>
          <w:sz w:val="28"/>
          <w:szCs w:val="28"/>
        </w:rPr>
        <w:t xml:space="preserve"> </w:t>
      </w:r>
      <w:r w:rsidRPr="00E24767">
        <w:rPr>
          <w:color w:val="000000"/>
          <w:sz w:val="28"/>
          <w:szCs w:val="28"/>
        </w:rPr>
        <w:t xml:space="preserve">không áp dụng với các đối tượng tại điểm b khoản 1, khoản 2, khoản 3 Điều 16 Thông tư này. </w:t>
      </w:r>
      <w:r>
        <w:rPr>
          <w:rFonts w:eastAsia="Times New Roman"/>
          <w:iCs/>
          <w:color w:val="000000"/>
          <w:sz w:val="28"/>
          <w:szCs w:val="28"/>
        </w:rPr>
        <w:t>Tổ chức phát hành thẻ</w:t>
      </w:r>
      <w:r w:rsidRPr="00E24767">
        <w:rPr>
          <w:color w:val="000000"/>
          <w:sz w:val="28"/>
          <w:szCs w:val="28"/>
        </w:rPr>
        <w:t xml:space="preserve"> chỉ phát hành thẻ bằng phương thức điện tử cho khách hàng cá nhân là người nước ngoài theo quy định tại khoản 4 Điều 16 Thông tư này đối với thẻ ghi nợ.</w:t>
      </w:r>
      <w:r w:rsidR="0099625F">
        <w:rPr>
          <w:color w:val="000000"/>
          <w:sz w:val="28"/>
          <w:szCs w:val="28"/>
        </w:rPr>
        <w:t xml:space="preserve"> </w:t>
      </w:r>
      <w:r w:rsidRPr="00E24767">
        <w:rPr>
          <w:color w:val="000000"/>
          <w:sz w:val="28"/>
          <w:szCs w:val="28"/>
        </w:rPr>
        <w:t>Việc cấp tín dụng qua thẻ tín dụng, thẻ ghi nợ được thấu chi ngoài việc tuân thủ quy định tại Điều này còn phải thực hiện theo quy định tại Điề</w:t>
      </w:r>
      <w:r w:rsidR="0099625F">
        <w:rPr>
          <w:color w:val="000000"/>
          <w:sz w:val="28"/>
          <w:szCs w:val="28"/>
        </w:rPr>
        <w:t>u 15 Thông tư này.</w:t>
      </w:r>
    </w:p>
    <w:p w14:paraId="614F5CCE" w14:textId="514513DF" w:rsidR="00E24767" w:rsidRPr="00E24767" w:rsidRDefault="0099625F" w:rsidP="00E24767">
      <w:pPr>
        <w:spacing w:line="360" w:lineRule="auto"/>
        <w:ind w:firstLine="720"/>
        <w:jc w:val="both"/>
        <w:rPr>
          <w:color w:val="000000"/>
          <w:sz w:val="28"/>
          <w:szCs w:val="28"/>
        </w:rPr>
      </w:pPr>
      <w:r>
        <w:rPr>
          <w:color w:val="000000"/>
          <w:sz w:val="28"/>
          <w:szCs w:val="28"/>
        </w:rPr>
        <w:t>Về t</w:t>
      </w:r>
      <w:r w:rsidR="00E24767" w:rsidRPr="00E24767">
        <w:rPr>
          <w:color w:val="000000"/>
          <w:sz w:val="28"/>
          <w:szCs w:val="28"/>
        </w:rPr>
        <w:t>hỏa thuậ</w:t>
      </w:r>
      <w:r>
        <w:rPr>
          <w:color w:val="000000"/>
          <w:sz w:val="28"/>
          <w:szCs w:val="28"/>
        </w:rPr>
        <w:t xml:space="preserve">n </w:t>
      </w:r>
      <w:r w:rsidR="00E24767" w:rsidRPr="00E24767">
        <w:rPr>
          <w:color w:val="000000"/>
          <w:sz w:val="28"/>
          <w:szCs w:val="28"/>
        </w:rPr>
        <w:t>việc cấp tín dụng cho chủ thẻ, bao gồm: Các hạn mức và sự thay đổi hạn mức sử dụng thẻ, bao gồm cả hạn mức thấu chi (đối với thẻ ghi nợ) và hạn mức tín dụng; lãi suất, phương thức tính lãi tiền vay, thứ tự thu hồi nợ gốc và lãi tiền vay (đối với thẻ tín dụng và thẻ ghi nợ được thấu chi); thời hạn cấp tín dụng, mục đích vay,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w:t>
      </w:r>
      <w:r>
        <w:rPr>
          <w:color w:val="000000"/>
          <w:sz w:val="28"/>
          <w:szCs w:val="28"/>
        </w:rPr>
        <w:t>n riêng.</w:t>
      </w:r>
    </w:p>
    <w:p w14:paraId="1DD82161" w14:textId="0D4EA60F" w:rsidR="00E24767" w:rsidRPr="00E24767" w:rsidRDefault="00E24767" w:rsidP="00E24767">
      <w:pPr>
        <w:spacing w:line="360" w:lineRule="auto"/>
        <w:ind w:firstLine="720"/>
        <w:jc w:val="both"/>
        <w:rPr>
          <w:color w:val="000000"/>
          <w:sz w:val="28"/>
          <w:szCs w:val="28"/>
        </w:rPr>
      </w:pPr>
      <w:r>
        <w:rPr>
          <w:rFonts w:eastAsia="Times New Roman"/>
          <w:iCs/>
          <w:color w:val="000000"/>
          <w:sz w:val="28"/>
          <w:szCs w:val="28"/>
        </w:rPr>
        <w:t>Tổ chức phát hành thẻ</w:t>
      </w:r>
      <w:r w:rsidRPr="00E24767">
        <w:rPr>
          <w:color w:val="000000"/>
          <w:sz w:val="28"/>
          <w:szCs w:val="28"/>
        </w:rPr>
        <w:t xml:space="preserve"> phải có quy định nội bộ về cấp tín dụng qua thẻ tín dụng phù hợp với quy định pháp luật về đảm bảo an toàn trong hoạt động cấp tín dụng, trong đó quy định cụ thể về đối tượng, hạn mức, điều kiện, thời hạn cấp tín dụng, thời hạn trả nợ, cơ cấu lại thời hạn trả nợ, mức trả nợ tối thiểu, lãi suất áp dụng, phương thức tính lãi tiền vay, thứ tự thu hồi nợ gốc và lãi tiền vay, phí phạt khoản nợ quá hạn, mục đích vay, quy trình thẩm định và quyết định cấp tín dụng qua thẻ theo nguyên tắc phân định rõ trách nhiệm giữa khâu thẩm định và quyết định cấp tín </w:t>
      </w:r>
      <w:r w:rsidRPr="00E24767">
        <w:rPr>
          <w:color w:val="000000"/>
          <w:sz w:val="28"/>
          <w:szCs w:val="28"/>
        </w:rPr>
        <w:lastRenderedPageBreak/>
        <w:t xml:space="preserve">dụng, các biện pháp áp dụng thu hồi nợ để đảm bảo trách nhiệm các bộ phận tại </w:t>
      </w:r>
      <w:r>
        <w:rPr>
          <w:rFonts w:eastAsia="Times New Roman"/>
          <w:iCs/>
          <w:color w:val="000000"/>
          <w:sz w:val="28"/>
          <w:szCs w:val="28"/>
        </w:rPr>
        <w:t>Tổ chức phát hành thẻ</w:t>
      </w:r>
      <w:r w:rsidRPr="00E24767">
        <w:rPr>
          <w:color w:val="000000"/>
          <w:sz w:val="28"/>
          <w:szCs w:val="28"/>
        </w:rPr>
        <w:t xml:space="preserve"> trong quá trình thu hồi nợ</w:t>
      </w:r>
      <w:r w:rsidR="0099625F">
        <w:rPr>
          <w:color w:val="000000"/>
          <w:sz w:val="28"/>
          <w:szCs w:val="28"/>
        </w:rPr>
        <w:t>.</w:t>
      </w:r>
    </w:p>
    <w:p w14:paraId="1DFB2808" w14:textId="6FF8EF91" w:rsidR="00E24767" w:rsidRPr="00E24767" w:rsidRDefault="0099625F" w:rsidP="0099625F">
      <w:pPr>
        <w:spacing w:line="360" w:lineRule="auto"/>
        <w:ind w:firstLine="720"/>
        <w:jc w:val="both"/>
        <w:rPr>
          <w:color w:val="000000"/>
          <w:sz w:val="28"/>
          <w:szCs w:val="28"/>
        </w:rPr>
      </w:pPr>
      <w:bookmarkStart w:id="2" w:name="khoan_8_1"/>
      <w:r>
        <w:rPr>
          <w:color w:val="000000"/>
          <w:sz w:val="28"/>
          <w:szCs w:val="28"/>
        </w:rPr>
        <w:t>Thông tư cũng s</w:t>
      </w:r>
      <w:r w:rsidR="00E24767" w:rsidRPr="00E24767">
        <w:rPr>
          <w:color w:val="000000"/>
          <w:sz w:val="28"/>
          <w:szCs w:val="28"/>
        </w:rPr>
        <w:t>ửa đổi, bổ sung</w:t>
      </w:r>
      <w:bookmarkEnd w:id="2"/>
      <w:r w:rsidR="00E24767" w:rsidRPr="00E24767">
        <w:rPr>
          <w:sz w:val="28"/>
          <w:szCs w:val="28"/>
        </w:rPr>
        <w:t> </w:t>
      </w:r>
      <w:bookmarkStart w:id="3" w:name="dc_8"/>
      <w:r w:rsidR="00E24767" w:rsidRPr="00E24767">
        <w:rPr>
          <w:color w:val="000000"/>
          <w:sz w:val="28"/>
          <w:szCs w:val="28"/>
        </w:rPr>
        <w:t>khoản 2 Điều 16</w:t>
      </w:r>
      <w:bookmarkEnd w:id="3"/>
      <w:r w:rsidR="00E24767" w:rsidRPr="00E24767">
        <w:rPr>
          <w:sz w:val="28"/>
          <w:szCs w:val="28"/>
        </w:rPr>
        <w:t> </w:t>
      </w:r>
      <w:bookmarkStart w:id="4" w:name="khoan_8_1_name"/>
      <w:r w:rsidR="00E24767" w:rsidRPr="00E24767">
        <w:rPr>
          <w:color w:val="000000"/>
          <w:sz w:val="28"/>
          <w:szCs w:val="28"/>
        </w:rPr>
        <w:t>(được sửa đổi, bổ sung</w:t>
      </w:r>
      <w:r w:rsidR="00E24767" w:rsidRPr="00E24767">
        <w:rPr>
          <w:sz w:val="28"/>
          <w:szCs w:val="28"/>
        </w:rPr>
        <w:t> </w:t>
      </w:r>
      <w:bookmarkEnd w:id="4"/>
      <w:r w:rsidR="00E24767" w:rsidRPr="00E24767">
        <w:rPr>
          <w:color w:val="000000"/>
          <w:sz w:val="28"/>
          <w:szCs w:val="28"/>
        </w:rPr>
        <w:t>theo quy định tại</w:t>
      </w:r>
      <w:r w:rsidR="00E24767" w:rsidRPr="00E24767">
        <w:rPr>
          <w:sz w:val="28"/>
          <w:szCs w:val="28"/>
        </w:rPr>
        <w:t> </w:t>
      </w:r>
      <w:bookmarkStart w:id="5" w:name="dc_9"/>
      <w:r w:rsidR="00E24767" w:rsidRPr="00E24767">
        <w:rPr>
          <w:color w:val="000000"/>
          <w:sz w:val="28"/>
          <w:szCs w:val="28"/>
        </w:rPr>
        <w:t>khoản 7 Điều 1 của Thông tư số 26/2017/TT-NHNN</w:t>
      </w:r>
      <w:bookmarkEnd w:id="5"/>
      <w:r w:rsidR="00E24767" w:rsidRPr="00E24767">
        <w:rPr>
          <w:sz w:val="28"/>
          <w:szCs w:val="28"/>
        </w:rPr>
        <w:t> </w:t>
      </w:r>
      <w:bookmarkStart w:id="6" w:name="khoan_8_1_name_name"/>
      <w:r w:rsidR="00E24767" w:rsidRPr="00E24767">
        <w:rPr>
          <w:color w:val="000000"/>
          <w:sz w:val="28"/>
          <w:szCs w:val="28"/>
        </w:rPr>
        <w:t>ngày 29 tháng 12 năm 2017 của Thống đốc Ngân hàng Nhà nước Việt Nam</w:t>
      </w:r>
      <w:r w:rsidR="00E24767" w:rsidRPr="00E24767">
        <w:rPr>
          <w:sz w:val="28"/>
          <w:szCs w:val="28"/>
        </w:rPr>
        <w:t> </w:t>
      </w:r>
      <w:bookmarkEnd w:id="6"/>
      <w:r w:rsidR="00E24767" w:rsidRPr="00E24767">
        <w:rPr>
          <w:color w:val="000000"/>
          <w:sz w:val="28"/>
          <w:szCs w:val="28"/>
        </w:rPr>
        <w:t>sửa đổi, bổ sung một số điều của Thông tư số 19/2016/TT-NHNN)</w:t>
      </w:r>
      <w:r w:rsidR="00E24767" w:rsidRPr="00E24767">
        <w:rPr>
          <w:sz w:val="28"/>
          <w:szCs w:val="28"/>
        </w:rPr>
        <w:t> </w:t>
      </w:r>
      <w:r w:rsidR="00E24767" w:rsidRPr="00E24767">
        <w:rPr>
          <w:color w:val="000000"/>
          <w:sz w:val="28"/>
          <w:szCs w:val="28"/>
        </w:rPr>
        <w:t>như sau:</w:t>
      </w:r>
      <w:r w:rsidR="00E24767" w:rsidRPr="00E24767">
        <w:rPr>
          <w:sz w:val="28"/>
          <w:szCs w:val="28"/>
        </w:rPr>
        <w:t> </w:t>
      </w:r>
      <w:r w:rsidR="00E24767" w:rsidRPr="00E24767">
        <w:rPr>
          <w:color w:val="000000"/>
          <w:sz w:val="28"/>
          <w:szCs w:val="28"/>
        </w:rPr>
        <w:t>Đối với chủ thẻ chính là tổ chức: Tổ chức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w:t>
      </w:r>
      <w:r>
        <w:rPr>
          <w:color w:val="000000"/>
          <w:sz w:val="28"/>
          <w:szCs w:val="28"/>
        </w:rPr>
        <w:t>i Thông tư này.</w:t>
      </w:r>
    </w:p>
    <w:p w14:paraId="4FC5E866" w14:textId="6E027791" w:rsidR="00E24767" w:rsidRPr="00E24767" w:rsidRDefault="0099625F" w:rsidP="0099625F">
      <w:pPr>
        <w:spacing w:line="360" w:lineRule="auto"/>
        <w:ind w:firstLine="720"/>
        <w:jc w:val="both"/>
        <w:rPr>
          <w:color w:val="000000"/>
          <w:sz w:val="28"/>
          <w:szCs w:val="28"/>
        </w:rPr>
      </w:pPr>
      <w:r>
        <w:rPr>
          <w:color w:val="000000"/>
          <w:sz w:val="28"/>
          <w:szCs w:val="28"/>
        </w:rPr>
        <w:t>Để mở thẻ online thì c</w:t>
      </w:r>
      <w:r w:rsidR="00E24767" w:rsidRPr="00E24767">
        <w:rPr>
          <w:color w:val="000000"/>
          <w:sz w:val="28"/>
          <w:szCs w:val="28"/>
        </w:rPr>
        <w:t xml:space="preserve">hủ thẻ phải cung cấp đầy đủ, chính xác các thông tin cần thiết theo yêu cầu của </w:t>
      </w:r>
      <w:r w:rsidR="00E24767">
        <w:rPr>
          <w:rFonts w:eastAsia="Times New Roman"/>
          <w:iCs/>
          <w:color w:val="000000"/>
          <w:sz w:val="28"/>
          <w:szCs w:val="28"/>
        </w:rPr>
        <w:t>Tổ chức phát hành thẻ</w:t>
      </w:r>
      <w:r w:rsidR="00E24767" w:rsidRPr="00E24767">
        <w:rPr>
          <w:color w:val="000000"/>
          <w:sz w:val="28"/>
          <w:szCs w:val="28"/>
        </w:rPr>
        <w:t xml:space="preserve"> khi giao kết hợp đồng phát hành và sử dụng thẻ và chịu trách nhiệm về tính trung thực của các thông tin mà mình cung cấp.</w:t>
      </w:r>
      <w:r>
        <w:rPr>
          <w:color w:val="000000"/>
          <w:sz w:val="28"/>
          <w:szCs w:val="28"/>
        </w:rPr>
        <w:t xml:space="preserve"> </w:t>
      </w:r>
      <w:r w:rsidR="00E24767" w:rsidRPr="00E24767">
        <w:rPr>
          <w:color w:val="000000"/>
          <w:sz w:val="28"/>
          <w:szCs w:val="28"/>
        </w:rPr>
        <w:t xml:space="preserve">Khi sử dụng thẻ tín dụng, thẻ ghi nợ được thấu chi, chủ thẻ phải sử dụng tiền đúng mục đích và thanh toán đầy đủ, đúng hạn cho </w:t>
      </w:r>
      <w:r w:rsidR="00E24767">
        <w:rPr>
          <w:rFonts w:eastAsia="Times New Roman"/>
          <w:iCs/>
          <w:color w:val="000000"/>
          <w:sz w:val="28"/>
          <w:szCs w:val="28"/>
        </w:rPr>
        <w:t>Tổ chức phát hành thẻ</w:t>
      </w:r>
      <w:r w:rsidR="00E24767" w:rsidRPr="00E24767">
        <w:rPr>
          <w:color w:val="000000"/>
          <w:sz w:val="28"/>
          <w:szCs w:val="28"/>
        </w:rPr>
        <w:t xml:space="preserve"> các khoản tiền vay và lãi phát sinh từ việc sử dụng thẻ theo hợp đồng đã giao kết với </w:t>
      </w:r>
      <w:r w:rsidR="00E24767">
        <w:rPr>
          <w:rFonts w:eastAsia="Times New Roman"/>
          <w:iCs/>
          <w:color w:val="000000"/>
          <w:sz w:val="28"/>
          <w:szCs w:val="28"/>
        </w:rPr>
        <w:t>Tổ chức phát hành thẻ</w:t>
      </w:r>
      <w:r>
        <w:rPr>
          <w:color w:val="000000"/>
          <w:sz w:val="28"/>
          <w:szCs w:val="28"/>
        </w:rPr>
        <w:t>. Đối với t</w:t>
      </w:r>
      <w:r w:rsidR="00E24767" w:rsidRPr="00E24767">
        <w:rPr>
          <w:color w:val="000000"/>
          <w:sz w:val="28"/>
          <w:szCs w:val="28"/>
        </w:rPr>
        <w:t>hẻ ghi nợ, thẻ tín dụng, thẻ trả trước định danh phát hành bằng phương thức điện tử không thực hiện rút ngoại tệ tiền mặt tại nước ngoài, thanh toán quốc tế trừ trường hợp quy định tại khoản 4 Điề</w:t>
      </w:r>
      <w:r>
        <w:rPr>
          <w:color w:val="000000"/>
          <w:sz w:val="28"/>
          <w:szCs w:val="28"/>
        </w:rPr>
        <w:t>u 10a Thông tư này.</w:t>
      </w:r>
    </w:p>
    <w:p w14:paraId="5492D37C" w14:textId="6E04D5B8" w:rsidR="00E24767" w:rsidRPr="00E24767" w:rsidRDefault="0099625F" w:rsidP="0099625F">
      <w:pPr>
        <w:spacing w:line="360" w:lineRule="auto"/>
        <w:ind w:firstLine="720"/>
        <w:jc w:val="both"/>
        <w:rPr>
          <w:color w:val="000000"/>
          <w:sz w:val="28"/>
          <w:szCs w:val="28"/>
        </w:rPr>
      </w:pPr>
      <w:r>
        <w:rPr>
          <w:color w:val="000000"/>
          <w:sz w:val="28"/>
          <w:szCs w:val="28"/>
        </w:rPr>
        <w:t xml:space="preserve">Để việc phát hành và sử dụng thẻ mở online được thực hiện đúng quy định thì </w:t>
      </w:r>
      <w:r w:rsidR="00E24767" w:rsidRPr="00E24767">
        <w:rPr>
          <w:color w:val="000000"/>
          <w:sz w:val="28"/>
          <w:szCs w:val="28"/>
        </w:rPr>
        <w:t xml:space="preserve">TCPHT, TCTTT thực hiện các biện pháp cần thiết để cập nhật, kiểm tra, rà soát, đối chiếu và nhận biết khách hàng trong quá trình sử dụng </w:t>
      </w:r>
      <w:proofErr w:type="gramStart"/>
      <w:r w:rsidR="00E24767" w:rsidRPr="00E24767">
        <w:rPr>
          <w:color w:val="000000"/>
          <w:sz w:val="28"/>
          <w:szCs w:val="28"/>
        </w:rPr>
        <w:t>thẻ</w:t>
      </w:r>
      <w:r>
        <w:rPr>
          <w:color w:val="000000"/>
          <w:sz w:val="28"/>
          <w:szCs w:val="28"/>
        </w:rPr>
        <w:t>.</w:t>
      </w:r>
      <w:r w:rsidR="00E24767" w:rsidRPr="00E24767">
        <w:rPr>
          <w:color w:val="000000"/>
          <w:sz w:val="28"/>
          <w:szCs w:val="28"/>
        </w:rPr>
        <w:t>TCTTT</w:t>
      </w:r>
      <w:proofErr w:type="gramEnd"/>
      <w:r w:rsidR="00E24767" w:rsidRPr="00E24767">
        <w:rPr>
          <w:color w:val="000000"/>
          <w:sz w:val="28"/>
          <w:szCs w:val="28"/>
        </w:rPr>
        <w:t xml:space="preserve"> phải tuân thủ Tiêu chuẩn cơ sở về thẻ chip nội địa áp dụng đối với ATM và thiết bị chấp nhận thẻ tại điểm bán của TCTTT theo lộ trình chuyển đổi quy định tại Điều 27a Thông tư này. TCTTT trong thời gian kiểm soát đặc biệt thực hiện lộ trình chuyển đổi theo quyết định của Thống đốc Ngân hàng Nhà nước đối với từng trường hợp cụ thể</w:t>
      </w:r>
      <w:r>
        <w:rPr>
          <w:color w:val="000000"/>
          <w:sz w:val="28"/>
          <w:szCs w:val="28"/>
        </w:rPr>
        <w:t>. Và</w:t>
      </w:r>
      <w:r w:rsidR="00E24767" w:rsidRPr="00E24767">
        <w:rPr>
          <w:color w:val="000000"/>
          <w:sz w:val="28"/>
          <w:szCs w:val="28"/>
        </w:rPr>
        <w:t xml:space="preserve"> </w:t>
      </w:r>
      <w:r w:rsidR="00E24767" w:rsidRPr="00E24767">
        <w:rPr>
          <w:color w:val="000000"/>
          <w:sz w:val="28"/>
          <w:szCs w:val="28"/>
        </w:rPr>
        <w:lastRenderedPageBreak/>
        <w:t>TCPHT, TCTTT, ĐVCNT có thể từ chối thanh toán thẻ khi có nghi ngờ về tính trung thực, mục đích giao dịch của chủ thẻ theo quy định pháp luật về phòng, chống rửa tiề</w:t>
      </w:r>
      <w:r>
        <w:rPr>
          <w:color w:val="000000"/>
          <w:sz w:val="28"/>
          <w:szCs w:val="28"/>
        </w:rPr>
        <w:t>n.</w:t>
      </w:r>
    </w:p>
    <w:p w14:paraId="49A3B24A" w14:textId="5BC44C73" w:rsidR="00B8661A" w:rsidRPr="0099625F" w:rsidRDefault="0099625F" w:rsidP="0099625F">
      <w:pPr>
        <w:spacing w:line="360" w:lineRule="auto"/>
        <w:jc w:val="both"/>
        <w:rPr>
          <w:b/>
          <w:color w:val="000000"/>
          <w:sz w:val="28"/>
          <w:szCs w:val="28"/>
        </w:rPr>
      </w:pPr>
      <w:r w:rsidRPr="0099625F">
        <w:rPr>
          <w:b/>
          <w:color w:val="000000"/>
          <w:sz w:val="28"/>
          <w:szCs w:val="28"/>
        </w:rPr>
        <w:t>Kết luận</w:t>
      </w:r>
    </w:p>
    <w:p w14:paraId="14B5CEEB" w14:textId="7F0D5DB6" w:rsidR="0099625F" w:rsidRPr="00896394" w:rsidRDefault="00896394" w:rsidP="00896394">
      <w:pPr>
        <w:spacing w:line="360" w:lineRule="auto"/>
        <w:ind w:firstLine="720"/>
        <w:jc w:val="both"/>
        <w:outlineLvl w:val="1"/>
        <w:rPr>
          <w:rFonts w:eastAsia="Times New Roman"/>
          <w:iCs/>
          <w:color w:val="000000"/>
          <w:sz w:val="28"/>
          <w:szCs w:val="28"/>
        </w:rPr>
      </w:pPr>
      <w:r>
        <w:rPr>
          <w:color w:val="000000"/>
          <w:sz w:val="28"/>
          <w:szCs w:val="28"/>
        </w:rPr>
        <w:t>Như vậy, việc ban hành t</w:t>
      </w:r>
      <w:r w:rsidRPr="004A153D">
        <w:rPr>
          <w:color w:val="000000"/>
          <w:sz w:val="28"/>
          <w:szCs w:val="28"/>
        </w:rPr>
        <w:t>hông tư số 17/2021/TT-NHNN</w:t>
      </w:r>
      <w:r>
        <w:rPr>
          <w:color w:val="000000"/>
          <w:sz w:val="28"/>
          <w:szCs w:val="28"/>
        </w:rPr>
        <w:t xml:space="preserve"> về </w:t>
      </w:r>
      <w:r w:rsidRPr="004A153D">
        <w:rPr>
          <w:rFonts w:eastAsia="Times New Roman"/>
          <w:iCs/>
          <w:color w:val="000000"/>
          <w:sz w:val="28"/>
          <w:szCs w:val="28"/>
        </w:rPr>
        <w:t>Tổ chức phát hành thẻ có thể thực hiện phát hành thẻ ghi nợ, thẻ tín dụng, thẻ trả trước định danh đối với chủ thẻ chính là c</w:t>
      </w:r>
      <w:r>
        <w:rPr>
          <w:rFonts w:eastAsia="Times New Roman"/>
          <w:iCs/>
          <w:color w:val="000000"/>
          <w:sz w:val="28"/>
          <w:szCs w:val="28"/>
        </w:rPr>
        <w:t>á nhân bằng phương thức điện tử sẽ giúp khách hàng cá nhân dễ dàng mở thẻ tại nhà khi thực hiện đầy đủ các quy định về mở thẻ bằng phương thức điện tử theo thông tư này.</w:t>
      </w:r>
    </w:p>
    <w:p w14:paraId="60B218C8" w14:textId="46244D6D" w:rsidR="00A56023" w:rsidRPr="004A153D" w:rsidRDefault="00A56023" w:rsidP="0099625F">
      <w:pPr>
        <w:spacing w:line="360" w:lineRule="auto"/>
        <w:jc w:val="both"/>
        <w:rPr>
          <w:b/>
          <w:color w:val="000000"/>
          <w:sz w:val="28"/>
          <w:szCs w:val="28"/>
        </w:rPr>
      </w:pPr>
      <w:r w:rsidRPr="004A153D">
        <w:rPr>
          <w:b/>
          <w:color w:val="000000"/>
          <w:sz w:val="28"/>
          <w:szCs w:val="28"/>
        </w:rPr>
        <w:t>Tài liệu tham khảo</w:t>
      </w:r>
    </w:p>
    <w:p w14:paraId="5C4D4767" w14:textId="226406FE" w:rsidR="00A56023" w:rsidRPr="004A153D" w:rsidRDefault="00A56023" w:rsidP="00A56023">
      <w:pPr>
        <w:spacing w:line="360" w:lineRule="auto"/>
        <w:jc w:val="both"/>
        <w:rPr>
          <w:color w:val="000000"/>
          <w:sz w:val="28"/>
          <w:szCs w:val="28"/>
        </w:rPr>
      </w:pPr>
      <w:r w:rsidRPr="004A153D">
        <w:rPr>
          <w:color w:val="000000"/>
          <w:sz w:val="28"/>
          <w:szCs w:val="28"/>
        </w:rPr>
        <w:t>1. Thông tư số 17/2021/TT-NHNN ban hành ngày 16 tháng 11 năm 2021</w:t>
      </w:r>
    </w:p>
    <w:p w14:paraId="1CF5F27A" w14:textId="4778938F" w:rsidR="00A56023" w:rsidRPr="004A153D" w:rsidRDefault="00A56023" w:rsidP="00A56023">
      <w:pPr>
        <w:spacing w:line="360" w:lineRule="auto"/>
        <w:jc w:val="both"/>
        <w:rPr>
          <w:color w:val="000000"/>
          <w:sz w:val="28"/>
          <w:szCs w:val="28"/>
        </w:rPr>
      </w:pPr>
      <w:r w:rsidRPr="004A153D">
        <w:rPr>
          <w:color w:val="000000"/>
          <w:sz w:val="28"/>
          <w:szCs w:val="28"/>
        </w:rPr>
        <w:t>2. Thông tư số 19/2016/TT-NHNN ban hành ngày 30 tháng 06 năm 2016</w:t>
      </w:r>
    </w:p>
    <w:p w14:paraId="79BB31B9" w14:textId="77777777" w:rsidR="00A56023" w:rsidRPr="004A153D" w:rsidRDefault="00A56023" w:rsidP="00A56023">
      <w:pPr>
        <w:spacing w:line="360" w:lineRule="auto"/>
        <w:jc w:val="both"/>
        <w:rPr>
          <w:color w:val="000000"/>
          <w:sz w:val="28"/>
          <w:szCs w:val="28"/>
        </w:rPr>
      </w:pPr>
    </w:p>
    <w:p w14:paraId="7D9D671B" w14:textId="77777777" w:rsidR="00E8686C" w:rsidRPr="004A153D" w:rsidRDefault="00E8686C" w:rsidP="00BB4074">
      <w:pPr>
        <w:spacing w:line="360" w:lineRule="auto"/>
        <w:jc w:val="both"/>
        <w:rPr>
          <w:rFonts w:eastAsia="Times New Roman"/>
          <w:sz w:val="28"/>
          <w:szCs w:val="28"/>
        </w:rPr>
      </w:pPr>
    </w:p>
    <w:p w14:paraId="1A89610F" w14:textId="77777777" w:rsidR="008F3AF6" w:rsidRPr="004A153D" w:rsidRDefault="009E4177" w:rsidP="00BB4074">
      <w:pPr>
        <w:spacing w:line="360" w:lineRule="auto"/>
        <w:jc w:val="both"/>
        <w:rPr>
          <w:sz w:val="28"/>
          <w:szCs w:val="28"/>
        </w:rPr>
      </w:pPr>
    </w:p>
    <w:sectPr w:rsidR="008F3AF6" w:rsidRPr="004A153D"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247F"/>
    <w:multiLevelType w:val="multilevel"/>
    <w:tmpl w:val="9AB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6C"/>
    <w:rsid w:val="00236A5C"/>
    <w:rsid w:val="003269EC"/>
    <w:rsid w:val="003846C8"/>
    <w:rsid w:val="0039613C"/>
    <w:rsid w:val="004A153D"/>
    <w:rsid w:val="00586DC6"/>
    <w:rsid w:val="00896394"/>
    <w:rsid w:val="0096494A"/>
    <w:rsid w:val="0099625F"/>
    <w:rsid w:val="009E4177"/>
    <w:rsid w:val="00A56023"/>
    <w:rsid w:val="00A90EBD"/>
    <w:rsid w:val="00AC2349"/>
    <w:rsid w:val="00B8661A"/>
    <w:rsid w:val="00BB4074"/>
    <w:rsid w:val="00D65313"/>
    <w:rsid w:val="00DA1754"/>
    <w:rsid w:val="00E24767"/>
    <w:rsid w:val="00E8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22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767"/>
    <w:rPr>
      <w:rFonts w:ascii="Times New Roman" w:hAnsi="Times New Roman" w:cs="Times New Roman"/>
    </w:rPr>
  </w:style>
  <w:style w:type="paragraph" w:styleId="Heading1">
    <w:name w:val="heading 1"/>
    <w:basedOn w:val="Normal"/>
    <w:link w:val="Heading1Char"/>
    <w:uiPriority w:val="9"/>
    <w:qFormat/>
    <w:rsid w:val="00E8686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8686C"/>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E8686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6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686C"/>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E8686C"/>
    <w:rPr>
      <w:rFonts w:ascii="Times New Roman" w:hAnsi="Times New Roman" w:cs="Times New Roman"/>
      <w:b/>
      <w:bCs/>
    </w:rPr>
  </w:style>
  <w:style w:type="character" w:customStyle="1" w:styleId="apple-converted-space">
    <w:name w:val="apple-converted-space"/>
    <w:basedOn w:val="DefaultParagraphFont"/>
    <w:rsid w:val="00E8686C"/>
  </w:style>
  <w:style w:type="character" w:customStyle="1" w:styleId="text">
    <w:name w:val="text"/>
    <w:basedOn w:val="DefaultParagraphFont"/>
    <w:rsid w:val="00E8686C"/>
  </w:style>
  <w:style w:type="paragraph" w:styleId="NormalWeb">
    <w:name w:val="Normal (Web)"/>
    <w:basedOn w:val="Normal"/>
    <w:uiPriority w:val="99"/>
    <w:semiHidden/>
    <w:unhideWhenUsed/>
    <w:rsid w:val="00E8686C"/>
    <w:pPr>
      <w:spacing w:before="100" w:beforeAutospacing="1" w:after="100" w:afterAutospacing="1"/>
    </w:pPr>
  </w:style>
  <w:style w:type="paragraph" w:styleId="ListParagraph">
    <w:name w:val="List Paragraph"/>
    <w:basedOn w:val="Normal"/>
    <w:uiPriority w:val="34"/>
    <w:qFormat/>
    <w:rsid w:val="00A56023"/>
    <w:pPr>
      <w:ind w:left="720"/>
      <w:contextualSpacing/>
    </w:pPr>
  </w:style>
  <w:style w:type="character" w:styleId="Hyperlink">
    <w:name w:val="Hyperlink"/>
    <w:basedOn w:val="DefaultParagraphFont"/>
    <w:uiPriority w:val="99"/>
    <w:unhideWhenUsed/>
    <w:rsid w:val="004A153D"/>
    <w:rPr>
      <w:color w:val="0563C1" w:themeColor="hyperlink"/>
      <w:u w:val="single"/>
    </w:rPr>
  </w:style>
  <w:style w:type="character" w:styleId="Strong">
    <w:name w:val="Strong"/>
    <w:basedOn w:val="DefaultParagraphFont"/>
    <w:uiPriority w:val="22"/>
    <w:qFormat/>
    <w:rsid w:val="00384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6939">
      <w:bodyDiv w:val="1"/>
      <w:marLeft w:val="0"/>
      <w:marRight w:val="0"/>
      <w:marTop w:val="0"/>
      <w:marBottom w:val="0"/>
      <w:divBdr>
        <w:top w:val="none" w:sz="0" w:space="0" w:color="auto"/>
        <w:left w:val="none" w:sz="0" w:space="0" w:color="auto"/>
        <w:bottom w:val="none" w:sz="0" w:space="0" w:color="auto"/>
        <w:right w:val="none" w:sz="0" w:space="0" w:color="auto"/>
      </w:divBdr>
    </w:div>
    <w:div w:id="154802701">
      <w:bodyDiv w:val="1"/>
      <w:marLeft w:val="0"/>
      <w:marRight w:val="0"/>
      <w:marTop w:val="0"/>
      <w:marBottom w:val="0"/>
      <w:divBdr>
        <w:top w:val="none" w:sz="0" w:space="0" w:color="auto"/>
        <w:left w:val="none" w:sz="0" w:space="0" w:color="auto"/>
        <w:bottom w:val="none" w:sz="0" w:space="0" w:color="auto"/>
        <w:right w:val="none" w:sz="0" w:space="0" w:color="auto"/>
      </w:divBdr>
    </w:div>
    <w:div w:id="316687985">
      <w:bodyDiv w:val="1"/>
      <w:marLeft w:val="0"/>
      <w:marRight w:val="0"/>
      <w:marTop w:val="0"/>
      <w:marBottom w:val="0"/>
      <w:divBdr>
        <w:top w:val="none" w:sz="0" w:space="0" w:color="auto"/>
        <w:left w:val="none" w:sz="0" w:space="0" w:color="auto"/>
        <w:bottom w:val="none" w:sz="0" w:space="0" w:color="auto"/>
        <w:right w:val="none" w:sz="0" w:space="0" w:color="auto"/>
      </w:divBdr>
    </w:div>
    <w:div w:id="576205164">
      <w:bodyDiv w:val="1"/>
      <w:marLeft w:val="0"/>
      <w:marRight w:val="0"/>
      <w:marTop w:val="0"/>
      <w:marBottom w:val="0"/>
      <w:divBdr>
        <w:top w:val="none" w:sz="0" w:space="0" w:color="auto"/>
        <w:left w:val="none" w:sz="0" w:space="0" w:color="auto"/>
        <w:bottom w:val="none" w:sz="0" w:space="0" w:color="auto"/>
        <w:right w:val="none" w:sz="0" w:space="0" w:color="auto"/>
      </w:divBdr>
    </w:div>
    <w:div w:id="580144329">
      <w:bodyDiv w:val="1"/>
      <w:marLeft w:val="0"/>
      <w:marRight w:val="0"/>
      <w:marTop w:val="0"/>
      <w:marBottom w:val="0"/>
      <w:divBdr>
        <w:top w:val="none" w:sz="0" w:space="0" w:color="auto"/>
        <w:left w:val="none" w:sz="0" w:space="0" w:color="auto"/>
        <w:bottom w:val="none" w:sz="0" w:space="0" w:color="auto"/>
        <w:right w:val="none" w:sz="0" w:space="0" w:color="auto"/>
      </w:divBdr>
      <w:divsChild>
        <w:div w:id="2079398065">
          <w:marLeft w:val="-1350"/>
          <w:marRight w:val="-1350"/>
          <w:marTop w:val="0"/>
          <w:marBottom w:val="0"/>
          <w:divBdr>
            <w:top w:val="none" w:sz="0" w:space="0" w:color="auto"/>
            <w:left w:val="none" w:sz="0" w:space="0" w:color="auto"/>
            <w:bottom w:val="none" w:sz="0" w:space="0" w:color="auto"/>
            <w:right w:val="none" w:sz="0" w:space="0" w:color="auto"/>
          </w:divBdr>
        </w:div>
        <w:div w:id="601885185">
          <w:marLeft w:val="0"/>
          <w:marRight w:val="0"/>
          <w:marTop w:val="0"/>
          <w:marBottom w:val="150"/>
          <w:divBdr>
            <w:top w:val="single" w:sz="6" w:space="8" w:color="DDDDDD"/>
            <w:left w:val="none" w:sz="0" w:space="0" w:color="auto"/>
            <w:bottom w:val="single" w:sz="6" w:space="8" w:color="DDDDDD"/>
            <w:right w:val="none" w:sz="0" w:space="0" w:color="auto"/>
          </w:divBdr>
          <w:divsChild>
            <w:div w:id="1398019088">
              <w:marLeft w:val="0"/>
              <w:marRight w:val="0"/>
              <w:marTop w:val="0"/>
              <w:marBottom w:val="75"/>
              <w:divBdr>
                <w:top w:val="none" w:sz="0" w:space="0" w:color="auto"/>
                <w:left w:val="none" w:sz="0" w:space="0" w:color="auto"/>
                <w:bottom w:val="none" w:sz="0" w:space="0" w:color="auto"/>
                <w:right w:val="none" w:sz="0" w:space="0" w:color="auto"/>
              </w:divBdr>
            </w:div>
            <w:div w:id="621767059">
              <w:marLeft w:val="0"/>
              <w:marRight w:val="0"/>
              <w:marTop w:val="0"/>
              <w:marBottom w:val="75"/>
              <w:divBdr>
                <w:top w:val="none" w:sz="0" w:space="0" w:color="auto"/>
                <w:left w:val="none" w:sz="0" w:space="0" w:color="auto"/>
                <w:bottom w:val="none" w:sz="0" w:space="0" w:color="auto"/>
                <w:right w:val="none" w:sz="0" w:space="0" w:color="auto"/>
              </w:divBdr>
            </w:div>
            <w:div w:id="1722359504">
              <w:marLeft w:val="0"/>
              <w:marRight w:val="0"/>
              <w:marTop w:val="0"/>
              <w:marBottom w:val="75"/>
              <w:divBdr>
                <w:top w:val="none" w:sz="0" w:space="0" w:color="auto"/>
                <w:left w:val="none" w:sz="0" w:space="0" w:color="auto"/>
                <w:bottom w:val="none" w:sz="0" w:space="0" w:color="auto"/>
                <w:right w:val="none" w:sz="0" w:space="0" w:color="auto"/>
              </w:divBdr>
            </w:div>
            <w:div w:id="323819596">
              <w:marLeft w:val="0"/>
              <w:marRight w:val="0"/>
              <w:marTop w:val="0"/>
              <w:marBottom w:val="0"/>
              <w:divBdr>
                <w:top w:val="none" w:sz="0" w:space="0" w:color="auto"/>
                <w:left w:val="none" w:sz="0" w:space="0" w:color="auto"/>
                <w:bottom w:val="none" w:sz="0" w:space="0" w:color="auto"/>
                <w:right w:val="none" w:sz="0" w:space="0" w:color="auto"/>
              </w:divBdr>
            </w:div>
          </w:divsChild>
        </w:div>
        <w:div w:id="1628390439">
          <w:marLeft w:val="0"/>
          <w:marRight w:val="0"/>
          <w:marTop w:val="0"/>
          <w:marBottom w:val="0"/>
          <w:divBdr>
            <w:top w:val="none" w:sz="0" w:space="0" w:color="auto"/>
            <w:left w:val="none" w:sz="0" w:space="0" w:color="auto"/>
            <w:bottom w:val="none" w:sz="0" w:space="0" w:color="auto"/>
            <w:right w:val="none" w:sz="0" w:space="0" w:color="auto"/>
          </w:divBdr>
        </w:div>
      </w:divsChild>
    </w:div>
    <w:div w:id="702482515">
      <w:bodyDiv w:val="1"/>
      <w:marLeft w:val="0"/>
      <w:marRight w:val="0"/>
      <w:marTop w:val="0"/>
      <w:marBottom w:val="0"/>
      <w:divBdr>
        <w:top w:val="none" w:sz="0" w:space="0" w:color="auto"/>
        <w:left w:val="none" w:sz="0" w:space="0" w:color="auto"/>
        <w:bottom w:val="none" w:sz="0" w:space="0" w:color="auto"/>
        <w:right w:val="none" w:sz="0" w:space="0" w:color="auto"/>
      </w:divBdr>
    </w:div>
    <w:div w:id="816917652">
      <w:bodyDiv w:val="1"/>
      <w:marLeft w:val="0"/>
      <w:marRight w:val="0"/>
      <w:marTop w:val="0"/>
      <w:marBottom w:val="0"/>
      <w:divBdr>
        <w:top w:val="none" w:sz="0" w:space="0" w:color="auto"/>
        <w:left w:val="none" w:sz="0" w:space="0" w:color="auto"/>
        <w:bottom w:val="none" w:sz="0" w:space="0" w:color="auto"/>
        <w:right w:val="none" w:sz="0" w:space="0" w:color="auto"/>
      </w:divBdr>
    </w:div>
    <w:div w:id="896088258">
      <w:bodyDiv w:val="1"/>
      <w:marLeft w:val="0"/>
      <w:marRight w:val="0"/>
      <w:marTop w:val="0"/>
      <w:marBottom w:val="0"/>
      <w:divBdr>
        <w:top w:val="none" w:sz="0" w:space="0" w:color="auto"/>
        <w:left w:val="none" w:sz="0" w:space="0" w:color="auto"/>
        <w:bottom w:val="none" w:sz="0" w:space="0" w:color="auto"/>
        <w:right w:val="none" w:sz="0" w:space="0" w:color="auto"/>
      </w:divBdr>
    </w:div>
    <w:div w:id="966426117">
      <w:bodyDiv w:val="1"/>
      <w:marLeft w:val="0"/>
      <w:marRight w:val="0"/>
      <w:marTop w:val="0"/>
      <w:marBottom w:val="0"/>
      <w:divBdr>
        <w:top w:val="none" w:sz="0" w:space="0" w:color="auto"/>
        <w:left w:val="none" w:sz="0" w:space="0" w:color="auto"/>
        <w:bottom w:val="none" w:sz="0" w:space="0" w:color="auto"/>
        <w:right w:val="none" w:sz="0" w:space="0" w:color="auto"/>
      </w:divBdr>
    </w:div>
    <w:div w:id="1229223466">
      <w:bodyDiv w:val="1"/>
      <w:marLeft w:val="0"/>
      <w:marRight w:val="0"/>
      <w:marTop w:val="0"/>
      <w:marBottom w:val="0"/>
      <w:divBdr>
        <w:top w:val="none" w:sz="0" w:space="0" w:color="auto"/>
        <w:left w:val="none" w:sz="0" w:space="0" w:color="auto"/>
        <w:bottom w:val="none" w:sz="0" w:space="0" w:color="auto"/>
        <w:right w:val="none" w:sz="0" w:space="0" w:color="auto"/>
      </w:divBdr>
    </w:div>
    <w:div w:id="1308827339">
      <w:bodyDiv w:val="1"/>
      <w:marLeft w:val="0"/>
      <w:marRight w:val="0"/>
      <w:marTop w:val="0"/>
      <w:marBottom w:val="0"/>
      <w:divBdr>
        <w:top w:val="none" w:sz="0" w:space="0" w:color="auto"/>
        <w:left w:val="none" w:sz="0" w:space="0" w:color="auto"/>
        <w:bottom w:val="none" w:sz="0" w:space="0" w:color="auto"/>
        <w:right w:val="none" w:sz="0" w:space="0" w:color="auto"/>
      </w:divBdr>
      <w:divsChild>
        <w:div w:id="352726929">
          <w:marLeft w:val="0"/>
          <w:marRight w:val="0"/>
          <w:marTop w:val="0"/>
          <w:marBottom w:val="0"/>
          <w:divBdr>
            <w:top w:val="none" w:sz="0" w:space="0" w:color="auto"/>
            <w:left w:val="none" w:sz="0" w:space="0" w:color="auto"/>
            <w:bottom w:val="none" w:sz="0" w:space="0" w:color="auto"/>
            <w:right w:val="none" w:sz="0" w:space="0" w:color="auto"/>
          </w:divBdr>
          <w:divsChild>
            <w:div w:id="1329746276">
              <w:marLeft w:val="0"/>
              <w:marRight w:val="0"/>
              <w:marTop w:val="0"/>
              <w:marBottom w:val="300"/>
              <w:divBdr>
                <w:top w:val="none" w:sz="0" w:space="0" w:color="auto"/>
                <w:left w:val="none" w:sz="0" w:space="0" w:color="auto"/>
                <w:bottom w:val="none" w:sz="0" w:space="0" w:color="auto"/>
                <w:right w:val="none" w:sz="0" w:space="0" w:color="auto"/>
              </w:divBdr>
            </w:div>
          </w:divsChild>
        </w:div>
        <w:div w:id="1632901399">
          <w:marLeft w:val="0"/>
          <w:marRight w:val="0"/>
          <w:marTop w:val="0"/>
          <w:marBottom w:val="0"/>
          <w:divBdr>
            <w:top w:val="none" w:sz="0" w:space="0" w:color="auto"/>
            <w:left w:val="none" w:sz="0" w:space="0" w:color="auto"/>
            <w:bottom w:val="none" w:sz="0" w:space="0" w:color="auto"/>
            <w:right w:val="none" w:sz="0" w:space="0" w:color="auto"/>
          </w:divBdr>
          <w:divsChild>
            <w:div w:id="1545824146">
              <w:marLeft w:val="0"/>
              <w:marRight w:val="0"/>
              <w:marTop w:val="0"/>
              <w:marBottom w:val="300"/>
              <w:divBdr>
                <w:top w:val="none" w:sz="0" w:space="0" w:color="auto"/>
                <w:left w:val="none" w:sz="0" w:space="0" w:color="auto"/>
                <w:bottom w:val="none" w:sz="0" w:space="0" w:color="auto"/>
                <w:right w:val="none" w:sz="0" w:space="0" w:color="auto"/>
              </w:divBdr>
            </w:div>
          </w:divsChild>
        </w:div>
        <w:div w:id="2011365383">
          <w:marLeft w:val="0"/>
          <w:marRight w:val="0"/>
          <w:marTop w:val="0"/>
          <w:marBottom w:val="0"/>
          <w:divBdr>
            <w:top w:val="none" w:sz="0" w:space="0" w:color="auto"/>
            <w:left w:val="none" w:sz="0" w:space="0" w:color="auto"/>
            <w:bottom w:val="none" w:sz="0" w:space="0" w:color="auto"/>
            <w:right w:val="none" w:sz="0" w:space="0" w:color="auto"/>
          </w:divBdr>
          <w:divsChild>
            <w:div w:id="685210939">
              <w:marLeft w:val="0"/>
              <w:marRight w:val="0"/>
              <w:marTop w:val="0"/>
              <w:marBottom w:val="300"/>
              <w:divBdr>
                <w:top w:val="none" w:sz="0" w:space="0" w:color="auto"/>
                <w:left w:val="none" w:sz="0" w:space="0" w:color="auto"/>
                <w:bottom w:val="none" w:sz="0" w:space="0" w:color="auto"/>
                <w:right w:val="none" w:sz="0" w:space="0" w:color="auto"/>
              </w:divBdr>
            </w:div>
          </w:divsChild>
        </w:div>
        <w:div w:id="1681273047">
          <w:marLeft w:val="0"/>
          <w:marRight w:val="0"/>
          <w:marTop w:val="0"/>
          <w:marBottom w:val="0"/>
          <w:divBdr>
            <w:top w:val="none" w:sz="0" w:space="0" w:color="auto"/>
            <w:left w:val="none" w:sz="0" w:space="0" w:color="auto"/>
            <w:bottom w:val="none" w:sz="0" w:space="0" w:color="auto"/>
            <w:right w:val="none" w:sz="0" w:space="0" w:color="auto"/>
          </w:divBdr>
          <w:divsChild>
            <w:div w:id="238759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3500862">
      <w:bodyDiv w:val="1"/>
      <w:marLeft w:val="0"/>
      <w:marRight w:val="0"/>
      <w:marTop w:val="0"/>
      <w:marBottom w:val="0"/>
      <w:divBdr>
        <w:top w:val="none" w:sz="0" w:space="0" w:color="auto"/>
        <w:left w:val="none" w:sz="0" w:space="0" w:color="auto"/>
        <w:bottom w:val="none" w:sz="0" w:space="0" w:color="auto"/>
        <w:right w:val="none" w:sz="0" w:space="0" w:color="auto"/>
      </w:divBdr>
    </w:div>
    <w:div w:id="1474059312">
      <w:bodyDiv w:val="1"/>
      <w:marLeft w:val="0"/>
      <w:marRight w:val="0"/>
      <w:marTop w:val="0"/>
      <w:marBottom w:val="0"/>
      <w:divBdr>
        <w:top w:val="none" w:sz="0" w:space="0" w:color="auto"/>
        <w:left w:val="none" w:sz="0" w:space="0" w:color="auto"/>
        <w:bottom w:val="none" w:sz="0" w:space="0" w:color="auto"/>
        <w:right w:val="none" w:sz="0" w:space="0" w:color="auto"/>
      </w:divBdr>
    </w:div>
    <w:div w:id="2034500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lbank.com.vn/vi/personal-banking/blog/huong-dan-cach-nap-tien-va-chuyen-tien-bang-the-visa-chi-tiet-nhat.html" TargetMode="External"/><Relationship Id="rId5" Type="http://schemas.openxmlformats.org/officeDocument/2006/relationships/hyperlink" Target="https://www.hlbank.com.vn/vi/personal-banking/blog/chuyen-khoan-ngan-ha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2022-05-13T03:19:00Z</dcterms:created>
  <dcterms:modified xsi:type="dcterms:W3CDTF">2022-05-13T03:19:00Z</dcterms:modified>
</cp:coreProperties>
</file>