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CB01" w14:textId="35ECDC6B" w:rsidR="009A09EF" w:rsidRDefault="009A09EF" w:rsidP="000C3543">
      <w:pPr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CÁC KHÁI NIỆM LIÊN QUAN VÀ CÁCH PHÂN LOẠI TRONG KẾ TOÁN CÔNG CỤ TÀI CHÍNH PHÁI SINH</w:t>
      </w:r>
    </w:p>
    <w:p w14:paraId="7E5F5690" w14:textId="77777777" w:rsidR="00A94A99" w:rsidRPr="00E1243B" w:rsidRDefault="00A94A99" w:rsidP="00A94A99">
      <w:pPr>
        <w:spacing w:after="12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E1243B">
        <w:rPr>
          <w:rFonts w:ascii="Times New Roman" w:hAnsi="Times New Roman"/>
          <w:b/>
          <w:bCs/>
          <w:color w:val="000000"/>
          <w:sz w:val="28"/>
          <w:szCs w:val="28"/>
        </w:rPr>
        <w:t>Nguyễn</w:t>
      </w:r>
      <w:proofErr w:type="spellEnd"/>
      <w:r w:rsidRPr="00E124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243B">
        <w:rPr>
          <w:rFonts w:ascii="Times New Roman" w:hAnsi="Times New Roman"/>
          <w:b/>
          <w:bCs/>
          <w:color w:val="000000"/>
          <w:sz w:val="28"/>
          <w:szCs w:val="28"/>
        </w:rPr>
        <w:t>Thị</w:t>
      </w:r>
      <w:proofErr w:type="spellEnd"/>
      <w:r w:rsidRPr="00E124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243B">
        <w:rPr>
          <w:rFonts w:ascii="Times New Roman" w:hAnsi="Times New Roman"/>
          <w:b/>
          <w:bCs/>
          <w:color w:val="000000"/>
          <w:sz w:val="28"/>
          <w:szCs w:val="28"/>
        </w:rPr>
        <w:t>Khánh</w:t>
      </w:r>
      <w:proofErr w:type="spellEnd"/>
      <w:r w:rsidRPr="00E124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243B">
        <w:rPr>
          <w:rFonts w:ascii="Times New Roman" w:hAnsi="Times New Roman"/>
          <w:b/>
          <w:bCs/>
          <w:color w:val="000000"/>
          <w:sz w:val="28"/>
          <w:szCs w:val="28"/>
        </w:rPr>
        <w:t>Vân</w:t>
      </w:r>
      <w:proofErr w:type="spellEnd"/>
    </w:p>
    <w:p w14:paraId="23EC9055" w14:textId="4569E033" w:rsidR="0083459E" w:rsidRDefault="00A94A99" w:rsidP="000C3543">
      <w:pPr>
        <w:jc w:val="both"/>
        <w:rPr>
          <w:rFonts w:ascii="TimesNewRoman" w:hAnsi="TimesNewRoman"/>
          <w:color w:val="000000"/>
          <w:sz w:val="26"/>
          <w:szCs w:val="26"/>
        </w:rPr>
      </w:pP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Một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phần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không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thể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tách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rời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trong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hoạt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động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giao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dịch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đối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với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cụ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tài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phái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sinh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đó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là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kế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toán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cụ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tài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phái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sinh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.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Sự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cần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thiết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cho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việc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tạo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lập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các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quy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định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liên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quan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đến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kế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toán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cụ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tài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phái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sinh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nhằm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hỗ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trợ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cho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các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đối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tượng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sử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dụng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thông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tin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biết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được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lợi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ích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của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việc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sử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dụng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các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cụ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tài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phái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sinh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,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đồng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thời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để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đảm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bảo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chất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lượng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cũng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như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tăng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cường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độ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tin</w:t>
      </w:r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cậy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của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thông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tin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kế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toán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liên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quan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trực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tiếp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đến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cụ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tài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phái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Pr="00A94A99">
        <w:rPr>
          <w:rFonts w:ascii="TimesNewRoman" w:hAnsi="TimesNewRoman"/>
          <w:color w:val="000000"/>
          <w:sz w:val="26"/>
          <w:szCs w:val="26"/>
        </w:rPr>
        <w:t>sinh</w:t>
      </w:r>
      <w:proofErr w:type="spellEnd"/>
      <w:r w:rsidRPr="00A94A99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đòi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hỏi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người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làm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tác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kế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toán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cần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hiểu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đúng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và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phân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loại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các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cụ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tài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phù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hợp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.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Bài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viết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tập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trung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làm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rõ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các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khái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niệm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và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cách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phân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loại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các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công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cụ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tài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chính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có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liên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NewRoman" w:hAnsi="TimesNewRoman"/>
          <w:color w:val="000000"/>
          <w:sz w:val="26"/>
          <w:szCs w:val="26"/>
        </w:rPr>
        <w:t>quan</w:t>
      </w:r>
      <w:proofErr w:type="spellEnd"/>
      <w:r w:rsidR="0083459E">
        <w:rPr>
          <w:rFonts w:ascii="TimesNewRoman" w:hAnsi="TimesNewRoman"/>
          <w:color w:val="000000"/>
          <w:sz w:val="26"/>
          <w:szCs w:val="26"/>
        </w:rPr>
        <w:t>.</w:t>
      </w:r>
    </w:p>
    <w:p w14:paraId="3A613B6A" w14:textId="0748A82B" w:rsidR="000C3543" w:rsidRDefault="00661535" w:rsidP="000C3543">
      <w:pPr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E91350" w:rsidRPr="000C3543">
        <w:rPr>
          <w:rStyle w:val="fontstyle01"/>
          <w:rFonts w:ascii="Times New Roman" w:hAnsi="Times New Roman" w:cs="Times New Roman"/>
          <w:sz w:val="26"/>
          <w:szCs w:val="26"/>
        </w:rPr>
        <w:t>Các</w:t>
      </w:r>
      <w:proofErr w:type="spellEnd"/>
      <w:r w:rsidR="00E91350" w:rsidRPr="000C3543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350" w:rsidRPr="000C3543">
        <w:rPr>
          <w:rStyle w:val="fontstyle01"/>
          <w:rFonts w:ascii="Times New Roman" w:hAnsi="Times New Roman" w:cs="Times New Roman"/>
          <w:sz w:val="26"/>
          <w:szCs w:val="26"/>
        </w:rPr>
        <w:t>khái</w:t>
      </w:r>
      <w:proofErr w:type="spellEnd"/>
      <w:r w:rsidR="00E91350" w:rsidRPr="000C3543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350" w:rsidRPr="000C3543">
        <w:rPr>
          <w:rStyle w:val="fontstyle01"/>
          <w:rFonts w:ascii="Times New Roman" w:hAnsi="Times New Roman" w:cs="Times New Roman"/>
          <w:sz w:val="26"/>
          <w:szCs w:val="26"/>
        </w:rPr>
        <w:t>niệm</w:t>
      </w:r>
      <w:proofErr w:type="spellEnd"/>
      <w:r w:rsidR="0083459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01"/>
          <w:rFonts w:ascii="Times New Roman" w:hAnsi="Times New Roman" w:cs="Times New Roman"/>
          <w:sz w:val="26"/>
          <w:szCs w:val="26"/>
        </w:rPr>
        <w:t>liên</w:t>
      </w:r>
      <w:proofErr w:type="spellEnd"/>
      <w:r w:rsidR="0083459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01"/>
          <w:rFonts w:ascii="Times New Roman" w:hAnsi="Times New Roman" w:cs="Times New Roman"/>
          <w:sz w:val="26"/>
          <w:szCs w:val="26"/>
        </w:rPr>
        <w:t>quan</w:t>
      </w:r>
      <w:proofErr w:type="spellEnd"/>
    </w:p>
    <w:p w14:paraId="68D51C3F" w14:textId="539DE480" w:rsidR="000C3543" w:rsidRPr="00661535" w:rsidRDefault="00D409B5" w:rsidP="000C3543">
      <w:pPr>
        <w:jc w:val="both"/>
        <w:rPr>
          <w:rStyle w:val="fontstyle21"/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Khái</w:t>
      </w:r>
      <w:proofErr w:type="spellEnd"/>
      <w:r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niệm</w:t>
      </w:r>
      <w:proofErr w:type="spellEnd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g</w:t>
      </w:r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iá</w:t>
      </w:r>
      <w:proofErr w:type="spellEnd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="00E91350" w:rsidRPr="00661535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:</w:t>
      </w:r>
    </w:p>
    <w:p w14:paraId="174F0722" w14:textId="4FC8217F" w:rsidR="00FE59A1" w:rsidRPr="000C3543" w:rsidRDefault="00E91350" w:rsidP="000C3543">
      <w:pPr>
        <w:jc w:val="both"/>
        <w:rPr>
          <w:rStyle w:val="fontstyle21"/>
          <w:rFonts w:ascii="Times New Roman" w:hAnsi="Times New Roman" w:cs="Times New Roman"/>
          <w:sz w:val="26"/>
          <w:szCs w:val="26"/>
        </w:rPr>
      </w:pPr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+ Theo IFRS 13.BC29,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nghĩa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="0083459E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trị</w:t>
      </w:r>
      <w:proofErr w:type="spellEnd"/>
      <w:r w:rsidR="0083459E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hợp</w:t>
      </w:r>
      <w:proofErr w:type="spellEnd"/>
      <w:r w:rsidR="0083459E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lý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là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trị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có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thể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nhận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khi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bán</w:t>
      </w:r>
      <w:proofErr w:type="spellEnd"/>
      <w:r w:rsid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tài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sản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hoặc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nghĩa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vụ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cần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thanh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toán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giữa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các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bên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có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đầy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đủ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nhận</w:t>
      </w:r>
      <w:proofErr w:type="spellEnd"/>
      <w:r w:rsid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thức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sẵn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sàng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trong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giao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dịch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mua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và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bán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tham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trên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thị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tại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ngày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còn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r w:rsidRPr="000C3543">
        <w:rPr>
          <w:rStyle w:val="fontstyle21"/>
          <w:rFonts w:ascii="Times New Roman" w:hAnsi="Times New Roman" w:cs="Times New Roman"/>
          <w:color w:val="010202"/>
          <w:sz w:val="26"/>
          <w:szCs w:val="26"/>
        </w:rPr>
        <w:t>IFRS 13.9</w:t>
      </w:r>
      <w:r w:rsidR="000C3543">
        <w:rPr>
          <w:rStyle w:val="fontstyle21"/>
          <w:rFonts w:ascii="Times New Roman" w:hAnsi="Times New Roman" w:cs="Times New Roman"/>
          <w:color w:val="010202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nghĩa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="0083459E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trị</w:t>
      </w:r>
      <w:proofErr w:type="spellEnd"/>
      <w:r w:rsidR="0083459E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hợp</w:t>
      </w:r>
      <w:proofErr w:type="spellEnd"/>
      <w:r w:rsidR="0083459E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9E">
        <w:rPr>
          <w:rStyle w:val="fontstyle21"/>
          <w:rFonts w:ascii="Times New Roman" w:hAnsi="Times New Roman" w:cs="Times New Roman"/>
          <w:sz w:val="26"/>
          <w:szCs w:val="26"/>
        </w:rPr>
        <w:t>lý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là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có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thể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nhận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khi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bán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tài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sản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hoặc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nghĩa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vụ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cần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thanh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toán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để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chuyển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giao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khoản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nợ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phải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trả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,</w:t>
      </w:r>
      <w:r w:rsid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trong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giao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dịch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mua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bán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có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trật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tự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giữa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các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bên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tham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thị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tại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một</w:t>
      </w:r>
      <w:proofErr w:type="spellEnd"/>
      <w:r w:rsid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ngày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nghĩa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về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trị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hợp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lý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trong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IFRS 13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hiểu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là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giá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đầu</w:t>
      </w:r>
      <w:proofErr w:type="spellEnd"/>
      <w:r w:rsidRP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ra</w:t>
      </w:r>
      <w:r w:rsidR="000C3543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(IFRS 13.</w:t>
      </w:r>
      <w:r w:rsidR="00186348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BC</w:t>
      </w:r>
      <w:r w:rsidR="00186348">
        <w:rPr>
          <w:rStyle w:val="fontstyle21"/>
          <w:rFonts w:ascii="Times New Roman" w:hAnsi="Times New Roman" w:cs="Times New Roman"/>
          <w:sz w:val="26"/>
          <w:szCs w:val="26"/>
        </w:rPr>
        <w:t xml:space="preserve"> </w:t>
      </w:r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36</w:t>
      </w:r>
      <w:r w:rsidRPr="000C3543">
        <w:rPr>
          <w:rStyle w:val="fontstyle21"/>
          <w:rFonts w:ascii="Times New Roman" w:hAnsi="Times New Roman" w:cs="Times New Roman"/>
          <w:sz w:val="26"/>
          <w:szCs w:val="26"/>
        </w:rPr>
        <w:t>)</w:t>
      </w:r>
    </w:p>
    <w:p w14:paraId="02BAA7FD" w14:textId="09C6AF33" w:rsidR="000C3543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6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88).</w:t>
      </w:r>
    </w:p>
    <w:p w14:paraId="37CDDB1F" w14:textId="65822DB7" w:rsidR="000C3543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ngang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14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210).</w:t>
      </w:r>
    </w:p>
    <w:p w14:paraId="3816F190" w14:textId="126EBF47" w:rsidR="00E91350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sàn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(IFRS 13, 16, 17)</w:t>
      </w:r>
    </w:p>
    <w:p w14:paraId="656518D4" w14:textId="225C5022" w:rsidR="000C3543" w:rsidRDefault="00E91350" w:rsidP="000C3543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Việt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Nam,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thuật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ngữ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khái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niệm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giải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thích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IAS 32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cũng</w:t>
      </w:r>
      <w:proofErr w:type="spellEnd"/>
      <w:r w:rsid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quy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210/2009/TT-BTC </w:t>
      </w:r>
      <w:proofErr w:type="spellStart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06/11/2009.</w:t>
      </w:r>
    </w:p>
    <w:p w14:paraId="5544029A" w14:textId="3BABFBAD" w:rsidR="00661535" w:rsidRPr="00661535" w:rsidRDefault="00661535" w:rsidP="000C3543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Khái</w:t>
      </w:r>
      <w:proofErr w:type="spellEnd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niệm</w:t>
      </w:r>
      <w:proofErr w:type="spellEnd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15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630A9D31" w14:textId="4D79D097" w:rsidR="00D409B5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10202"/>
          <w:sz w:val="26"/>
          <w:szCs w:val="26"/>
        </w:rPr>
        <w:t xml:space="preserve">IAS 39, </w:t>
      </w:r>
      <w:proofErr w:type="spellStart"/>
      <w:r w:rsidRPr="000C3543">
        <w:rPr>
          <w:rFonts w:ascii="Times New Roman" w:hAnsi="Times New Roman" w:cs="Times New Roman"/>
          <w:color w:val="010202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10202"/>
          <w:sz w:val="26"/>
          <w:szCs w:val="26"/>
        </w:rPr>
        <w:t xml:space="preserve"> IFRS 9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bao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3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D66D1F3" w14:textId="5BCD9CE8" w:rsidR="00D409B5" w:rsidRPr="00D409B5" w:rsidRDefault="00D409B5" w:rsidP="00D409B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C3543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hối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đoái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xếp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hạng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0C3543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phi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0C3543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gọi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0C3543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E91350" w:rsidRPr="00D409B5">
        <w:rPr>
          <w:rFonts w:ascii="Times New Roman" w:hAnsi="Times New Roman" w:cs="Times New Roman"/>
          <w:i/>
          <w:iCs/>
          <w:color w:val="000000"/>
          <w:sz w:val="26"/>
          <w:szCs w:val="26"/>
        </w:rPr>
        <w:t>underlying</w:t>
      </w:r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14:paraId="06EFC98B" w14:textId="5C80FF43" w:rsidR="000C3543" w:rsidRPr="00D409B5" w:rsidRDefault="00D409B5" w:rsidP="00D409B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thuần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thuần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ban</w:t>
      </w:r>
      <w:r w:rsidR="000C3543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nhỏ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vọng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chỉsố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giống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C3543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(iii)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1350" w:rsidRPr="00D409B5">
        <w:rPr>
          <w:rFonts w:ascii="Times New Roman" w:hAnsi="Times New Roman" w:cs="Times New Roman"/>
          <w:color w:val="010202"/>
          <w:sz w:val="26"/>
          <w:szCs w:val="26"/>
        </w:rPr>
        <w:t>(IAS 39.9, IFRS 9 Appendix A)</w:t>
      </w:r>
      <w:r w:rsidR="00E91350" w:rsidRPr="00D409B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4BF93E9" w14:textId="14402ADC" w:rsidR="00E91350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(embedded derivatives)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phi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khiến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hối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đoái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xếp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hạng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xếp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phi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coi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coi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(IAS 39.10, IFRS 9.4.3.1)</w:t>
      </w:r>
    </w:p>
    <w:p w14:paraId="56F240E8" w14:textId="77777777" w:rsidR="000C3543" w:rsidRPr="00D409B5" w:rsidRDefault="00E91350" w:rsidP="000C3543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Khái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niệm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="000C3543" w:rsidRPr="00D409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6FBDCC9E" w14:textId="77777777" w:rsidR="000C3543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Theo IAS 32. AG15-19,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786D8F8" w14:textId="52F4EFCA" w:rsidR="000C3543" w:rsidRDefault="00E91350" w:rsidP="000C354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Khái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niệm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kỳ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(IAS 39.B.9, IFRS 9.B.9)</w:t>
      </w:r>
    </w:p>
    <w:p w14:paraId="46A8DADE" w14:textId="77777777" w:rsidR="000C3543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ràng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BFED93D" w14:textId="56E15E7F" w:rsidR="00E91350" w:rsidRPr="000C3543" w:rsidRDefault="00E91350" w:rsidP="000C354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Khái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niệm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(IAS 39.B.10, IFRS 9.B.10)</w:t>
      </w:r>
    </w:p>
    <w:p w14:paraId="1346A1D4" w14:textId="77777777" w:rsidR="000C3543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yếu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ở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chuNn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D81FB7C" w14:textId="77777777" w:rsidR="000C3543" w:rsidRDefault="00E91350" w:rsidP="000C354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>Khái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niệm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(IAS 39.AG11, IFRS 9.BA.3)</w:t>
      </w:r>
    </w:p>
    <w:p w14:paraId="47DC052C" w14:textId="77777777" w:rsidR="000C3543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nắm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đáo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đáo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D02CCD6" w14:textId="19A0058E" w:rsidR="000C3543" w:rsidRDefault="00E91350" w:rsidP="000C354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Khái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niệm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hoán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(IAS 39.B.9, IFRS 9.B.9)</w:t>
      </w:r>
    </w:p>
    <w:p w14:paraId="7AF2A4AB" w14:textId="7777777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5031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ỷ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hối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đoái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niêm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yết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sàn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gánh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bởi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sàn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8BCE0B9" w14:textId="6C4A5D8B" w:rsidR="00E91350" w:rsidRPr="000C3543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Nhằm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khuyến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khích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N am,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3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N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ghị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42/2015/N Đ-CP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05/05/2015,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Tuy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khoán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C71484A" w14:textId="6E192FE3" w:rsidR="00425031" w:rsidRDefault="00661535" w:rsidP="000C3543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Chuẩn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mực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kế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toán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quốc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tế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văn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hướng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dẫn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Việt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Nam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liên</w:t>
      </w:r>
      <w:proofErr w:type="spellEnd"/>
      <w:r w:rsidR="0042503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đến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kế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toán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435A6E0A" w14:textId="2B01E504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tuân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tắc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CBCC107" w14:textId="4A23F760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</w:t>
      </w:r>
      <w:r w:rsidR="00661535">
        <w:rPr>
          <w:rFonts w:ascii="Times New Roman" w:hAnsi="Times New Roman" w:cs="Times New Roman"/>
          <w:color w:val="000000"/>
          <w:sz w:val="26"/>
          <w:szCs w:val="26"/>
        </w:rPr>
        <w:t>uẩn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FFB7E42" w14:textId="7777777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- IAS 32: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</w:p>
    <w:p w14:paraId="3C08C9E8" w14:textId="250DF790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- IAS 39: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FCDD649" w14:textId="7777777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- IFRS 7: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32E8F385" w14:textId="2DD300FF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- IFRS 9: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01/01/2018 -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IAS 39).</w:t>
      </w:r>
    </w:p>
    <w:p w14:paraId="7BB4EA58" w14:textId="04DD3CF6" w:rsidR="00425031" w:rsidRDefault="00E91350" w:rsidP="00425031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lastRenderedPageBreak/>
        <w:t>Tại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Nam,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210/2009/TT-BTC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293A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06/11/2009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>huẩn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293A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IAS 39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IFRS 9,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cập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ACA454D" w14:textId="60D5FCE2" w:rsidR="00425031" w:rsidRDefault="00E91350" w:rsidP="00425031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(ii)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(iii)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(iv)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(v)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A9FB3F5" w14:textId="2424C674" w:rsidR="00425031" w:rsidRDefault="00661535" w:rsidP="00425031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Phân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loại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91350" w:rsidRPr="000C3543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6C008B50" w14:textId="77777777" w:rsidR="00425031" w:rsidRDefault="00E91350" w:rsidP="00425031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Theo IAS 39/IFRS 9,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C03B24A" w14:textId="77777777" w:rsidR="00425031" w:rsidRDefault="00E91350" w:rsidP="0042503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60227B3" w14:textId="77777777" w:rsidR="00425031" w:rsidRDefault="00E91350" w:rsidP="0042503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>▪ P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tệ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tệ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,…</w:t>
      </w:r>
      <w:proofErr w:type="gramEnd"/>
    </w:p>
    <w:p w14:paraId="45E498CE" w14:textId="77777777" w:rsidR="00425031" w:rsidRDefault="00E91350" w:rsidP="00425031">
      <w:pPr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>▪ P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độc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(embedded derivatives)</w:t>
      </w:r>
    </w:p>
    <w:p w14:paraId="47E8DA14" w14:textId="474E9E64" w:rsidR="00E91350" w:rsidRPr="000C3543" w:rsidRDefault="00E91350" w:rsidP="0042503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>▪ P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tảng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(4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nền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tảng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,…</w:t>
      </w:r>
      <w:proofErr w:type="gramEnd"/>
      <w:r w:rsidRPr="000C3543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22589F43" w14:textId="7777777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nắm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749EF88" w14:textId="77777777" w:rsidR="00425031" w:rsidRPr="00293A6F" w:rsidRDefault="00E91350" w:rsidP="000C354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sym w:font="Symbol" w:char="F0B7"/>
      </w:r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Phân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loại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công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cụ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là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sản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. </w:t>
      </w:r>
    </w:p>
    <w:p w14:paraId="5DD81856" w14:textId="072B5196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>Theo IFRS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9.4.1.1,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Mô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(ii)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luồng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64FD421" w14:textId="7777777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o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đo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lường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nguyên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bổ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IFRS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9.4.1.2)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đáp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nắm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nhằm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luồng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(ii)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6E47EC5" w14:textId="3BDE3D9A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o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sản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đo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lường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i/>
          <w:iCs/>
          <w:color w:val="000000"/>
          <w:sz w:val="26"/>
          <w:szCs w:val="26"/>
        </w:rPr>
        <w:t>giá</w:t>
      </w:r>
      <w:proofErr w:type="spellEnd"/>
      <w:r w:rsidR="0083459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trị</w:t>
      </w:r>
      <w:proofErr w:type="spellEnd"/>
      <w:r w:rsidR="0083459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="0083459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lý</w:t>
      </w:r>
      <w:proofErr w:type="spellEnd"/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IFRS 9.4.1.2)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(fair value through profit or loss – FVTPL).</w:t>
      </w:r>
    </w:p>
    <w:p w14:paraId="0B22FF41" w14:textId="77777777" w:rsidR="00425031" w:rsidRPr="00293A6F" w:rsidRDefault="00E91350" w:rsidP="000C354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293A6F">
        <w:rPr>
          <w:rFonts w:ascii="Times New Roman" w:hAnsi="Times New Roman" w:cs="Times New Roman"/>
          <w:i/>
          <w:iCs/>
          <w:color w:val="000000"/>
          <w:sz w:val="26"/>
          <w:szCs w:val="26"/>
        </w:rPr>
        <w:sym w:font="Symbol" w:char="F0B7"/>
      </w:r>
      <w:r w:rsidRPr="00293A6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Phân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loại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công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cụ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là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nợ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phải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trả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293A6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14:paraId="1E07C871" w14:textId="5D3937E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, DN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834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459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(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IFRS 9.4.2.1).</w:t>
      </w:r>
    </w:p>
    <w:p w14:paraId="58425CFA" w14:textId="7777777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3543">
        <w:rPr>
          <w:rFonts w:ascii="Times New Roman" w:hAnsi="Times New Roman" w:cs="Times New Roman"/>
          <w:i/>
          <w:iCs/>
          <w:color w:val="000000"/>
          <w:sz w:val="26"/>
          <w:szCs w:val="26"/>
        </w:rPr>
        <w:t>(</w:t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>IFRS 9.4.3)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B01237D" w14:textId="77777777" w:rsidR="00425031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CSH,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CCTCPS</w:t>
      </w:r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CSH.</w:t>
      </w:r>
    </w:p>
    <w:p w14:paraId="72114DFA" w14:textId="4503BE03" w:rsidR="00E91350" w:rsidRDefault="00E91350" w:rsidP="000C354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3543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CSH (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="004250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CCTCPS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3543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C354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B9D418C" w14:textId="034D9635" w:rsidR="00293A6F" w:rsidRPr="005C6D77" w:rsidRDefault="005C6D77" w:rsidP="000C3543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5C6D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5C6D7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6D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  <w:r w:rsidRPr="005C6D7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6D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5C6D7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6D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khảo</w:t>
      </w:r>
      <w:proofErr w:type="spellEnd"/>
    </w:p>
    <w:p w14:paraId="470FD1EF" w14:textId="4BA371DE" w:rsidR="00293A6F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1.</w:t>
      </w:r>
      <w:r w:rsidR="00293A6F" w:rsidRPr="00293A6F">
        <w:rPr>
          <w:rFonts w:ascii="TimesNewRoman" w:hAnsi="TimesNewRoman"/>
          <w:color w:val="000000"/>
          <w:sz w:val="24"/>
          <w:szCs w:val="24"/>
        </w:rPr>
        <w:t>Ch</w:t>
      </w:r>
      <w:r>
        <w:rPr>
          <w:rFonts w:ascii="TimesNewRoman" w:hAnsi="TimesNewRoman"/>
          <w:color w:val="000000"/>
          <w:sz w:val="24"/>
          <w:szCs w:val="24"/>
        </w:rPr>
        <w:t>uẩ</w:t>
      </w:r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n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mực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kế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Việt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N am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số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01 –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ChuNn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mực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chung</w:t>
      </w:r>
      <w:proofErr w:type="spellEnd"/>
    </w:p>
    <w:p w14:paraId="695A2F57" w14:textId="585423EB" w:rsidR="00293A6F" w:rsidRDefault="00293A6F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 w:rsidRPr="00293A6F">
        <w:rPr>
          <w:rFonts w:ascii="TimesNewRoman" w:hAnsi="TimesNewRoman"/>
          <w:color w:val="000000"/>
          <w:sz w:val="24"/>
          <w:szCs w:val="24"/>
        </w:rPr>
        <w:t xml:space="preserve">2.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Ch</w:t>
      </w:r>
      <w:r w:rsidR="005C6D77">
        <w:rPr>
          <w:rFonts w:ascii="TimesNewRoman" w:hAnsi="TimesNewRoman"/>
          <w:color w:val="000000"/>
          <w:sz w:val="24"/>
          <w:szCs w:val="24"/>
        </w:rPr>
        <w:t>uẩ</w:t>
      </w:r>
      <w:r w:rsidRPr="00293A6F">
        <w:rPr>
          <w:rFonts w:ascii="TimesNewRoman" w:hAnsi="TimesNewRoman"/>
          <w:color w:val="000000"/>
          <w:sz w:val="24"/>
          <w:szCs w:val="24"/>
        </w:rPr>
        <w:t>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mực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kế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Việt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N am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số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10 –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Ảnh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hưởng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của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việc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thay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đổi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tỷ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giá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hối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đoái</w:t>
      </w:r>
      <w:proofErr w:type="spellEnd"/>
    </w:p>
    <w:p w14:paraId="089A6321" w14:textId="2EF2D925" w:rsidR="00293A6F" w:rsidRDefault="00293A6F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 w:rsidRPr="00293A6F">
        <w:rPr>
          <w:rFonts w:ascii="TimesNewRoman" w:hAnsi="TimesNewRoman"/>
          <w:color w:val="000000"/>
          <w:sz w:val="24"/>
          <w:szCs w:val="24"/>
        </w:rPr>
        <w:t xml:space="preserve">3.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Ch</w:t>
      </w:r>
      <w:r w:rsidR="005C6D77">
        <w:rPr>
          <w:rFonts w:ascii="TimesNewRoman" w:hAnsi="TimesNewRoman"/>
          <w:color w:val="000000"/>
          <w:sz w:val="24"/>
          <w:szCs w:val="24"/>
        </w:rPr>
        <w:t>uẩ</w:t>
      </w:r>
      <w:r w:rsidRPr="00293A6F">
        <w:rPr>
          <w:rFonts w:ascii="TimesNewRoman" w:hAnsi="TimesNewRoman"/>
          <w:color w:val="000000"/>
          <w:sz w:val="24"/>
          <w:szCs w:val="24"/>
        </w:rPr>
        <w:t>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mực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kế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Việt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N am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số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21 –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Trình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bày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báo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cáo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tài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chính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</w:p>
    <w:p w14:paraId="6056691B" w14:textId="79222D4B" w:rsidR="00293A6F" w:rsidRDefault="00293A6F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 w:rsidRPr="00293A6F">
        <w:rPr>
          <w:rFonts w:ascii="TimesNewRoman" w:hAnsi="TimesNewRoman"/>
          <w:color w:val="000000"/>
          <w:sz w:val="24"/>
          <w:szCs w:val="24"/>
        </w:rPr>
        <w:t xml:space="preserve">4.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Ch</w:t>
      </w:r>
      <w:r w:rsidR="005C6D77">
        <w:rPr>
          <w:rFonts w:ascii="TimesNewRoman" w:hAnsi="TimesNewRoman"/>
          <w:color w:val="000000"/>
          <w:sz w:val="24"/>
          <w:szCs w:val="24"/>
        </w:rPr>
        <w:t>uẩ</w:t>
      </w:r>
      <w:r w:rsidRPr="00293A6F">
        <w:rPr>
          <w:rFonts w:ascii="TimesNewRoman" w:hAnsi="TimesNewRoman"/>
          <w:color w:val="000000"/>
          <w:sz w:val="24"/>
          <w:szCs w:val="24"/>
        </w:rPr>
        <w:t>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mực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kế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Việt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N am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số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22–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Trình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bày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bổ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sung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báo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cáo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tài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chính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của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các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ngân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/>
          <w:color w:val="000000"/>
          <w:sz w:val="24"/>
          <w:szCs w:val="24"/>
        </w:rPr>
        <w:t xml:space="preserve">hang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và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tổ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chức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tài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chính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tương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tự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293A6F">
        <w:rPr>
          <w:rFonts w:ascii="TimesNewRoman" w:hAnsi="TimesNewRoman"/>
          <w:color w:val="000000"/>
          <w:sz w:val="24"/>
          <w:szCs w:val="24"/>
        </w:rPr>
        <w:t xml:space="preserve">5.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Công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văn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số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7404/2006/N HN N – KTTC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ngày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29/08/2006: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hướng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dẫn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hạch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toánkế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nghiệp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vụ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phái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sinh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tiền</w:t>
      </w:r>
      <w:proofErr w:type="spellEnd"/>
      <w:r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293A6F">
        <w:rPr>
          <w:rFonts w:ascii="TimesNewRoman" w:hAnsi="TimesNewRoman"/>
          <w:color w:val="000000"/>
          <w:sz w:val="24"/>
          <w:szCs w:val="24"/>
        </w:rPr>
        <w:t>tệ</w:t>
      </w:r>
      <w:proofErr w:type="spellEnd"/>
    </w:p>
    <w:p w14:paraId="4F538936" w14:textId="6336227A" w:rsidR="00293A6F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5</w:t>
      </w:r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.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Luật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Kế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Việt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N am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số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88/2015/QH13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ngày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20/11/2015</w:t>
      </w:r>
    </w:p>
    <w:p w14:paraId="4089336B" w14:textId="0FF8EF00" w:rsidR="00293A6F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6</w:t>
      </w:r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.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Thông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tư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210/2009/TT – BTC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ngày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6/11/2009: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hướng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dẫn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áp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dụng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ch</w:t>
      </w:r>
      <w:r>
        <w:rPr>
          <w:rFonts w:ascii="TimesNewRoman" w:hAnsi="TimesNewRoman"/>
          <w:color w:val="000000"/>
          <w:sz w:val="24"/>
          <w:szCs w:val="24"/>
        </w:rPr>
        <w:t>uẩ</w:t>
      </w:r>
      <w:r w:rsidR="00293A6F" w:rsidRPr="00293A6F">
        <w:rPr>
          <w:rFonts w:ascii="TimesNewRoman" w:hAnsi="TimesNewRoman"/>
          <w:color w:val="000000"/>
          <w:sz w:val="24"/>
          <w:szCs w:val="24"/>
        </w:rPr>
        <w:t>n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mực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kế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quốc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tế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về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trình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bày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báo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cáo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tài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chính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và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thuyết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minh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thông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tin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đối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với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công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cụ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tài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="00293A6F" w:rsidRPr="00293A6F">
        <w:rPr>
          <w:rFonts w:ascii="TimesNewRoman" w:hAnsi="TimesNewRoman"/>
          <w:color w:val="000000"/>
          <w:sz w:val="24"/>
          <w:szCs w:val="24"/>
        </w:rPr>
        <w:t>chính</w:t>
      </w:r>
      <w:proofErr w:type="spellEnd"/>
      <w:r w:rsidR="00293A6F" w:rsidRPr="00293A6F">
        <w:rPr>
          <w:rFonts w:ascii="TimesNewRoman" w:hAnsi="TimesNewRoman"/>
          <w:color w:val="000000"/>
          <w:sz w:val="24"/>
          <w:szCs w:val="24"/>
        </w:rPr>
        <w:t>.</w:t>
      </w:r>
    </w:p>
    <w:p w14:paraId="00B76E84" w14:textId="19215CB9" w:rsidR="005C6D77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7</w:t>
      </w:r>
      <w:r w:rsidRPr="005C6D77">
        <w:rPr>
          <w:rFonts w:ascii="TimesNewRoman" w:hAnsi="TimesNewRoman"/>
          <w:color w:val="000000"/>
          <w:sz w:val="24"/>
          <w:szCs w:val="24"/>
        </w:rPr>
        <w:t xml:space="preserve">.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Thông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tư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số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200/2014/TT-BTC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ngày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22/12/2014: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Hướng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dẫn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Chế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độ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kế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toán</w:t>
      </w:r>
      <w:proofErr w:type="spellEnd"/>
      <w:r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Doanh</w:t>
      </w:r>
      <w:proofErr w:type="spellEnd"/>
      <w:r w:rsidRPr="005C6D77">
        <w:rPr>
          <w:rFonts w:ascii="TimesNewRoman" w:hAnsi="TimesNewRoman"/>
          <w:color w:val="000000"/>
          <w:sz w:val="24"/>
          <w:szCs w:val="24"/>
        </w:rPr>
        <w:t xml:space="preserve"> </w:t>
      </w:r>
      <w:proofErr w:type="spellStart"/>
      <w:r w:rsidRPr="005C6D77">
        <w:rPr>
          <w:rFonts w:ascii="TimesNewRoman" w:hAnsi="TimesNewRoman"/>
          <w:color w:val="000000"/>
          <w:sz w:val="24"/>
          <w:szCs w:val="24"/>
        </w:rPr>
        <w:t>nghiệp</w:t>
      </w:r>
      <w:proofErr w:type="spellEnd"/>
    </w:p>
    <w:p w14:paraId="7D7C2F62" w14:textId="4032C43C" w:rsidR="005C6D77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8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Accounting Standards 32: Financial Instruments – Presentation</w:t>
      </w:r>
    </w:p>
    <w:p w14:paraId="1F48B448" w14:textId="4C3E1887" w:rsidR="005C6D77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9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Accounting Standards 39: Financial Instruments - Recognition and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5C6D77">
        <w:rPr>
          <w:rFonts w:ascii="TimesNewRoman" w:hAnsi="TimesNewRoman"/>
          <w:color w:val="000000"/>
          <w:sz w:val="24"/>
          <w:szCs w:val="24"/>
        </w:rPr>
        <w:t>Measurement</w:t>
      </w:r>
    </w:p>
    <w:p w14:paraId="5A3C2D39" w14:textId="2E4E15C3" w:rsidR="005C6D77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10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Financial Reporting Standard 13: Fair Value Measurement</w:t>
      </w:r>
    </w:p>
    <w:p w14:paraId="7BC3CCA9" w14:textId="1DBCB283" w:rsidR="005C6D77" w:rsidRDefault="005C6D77" w:rsidP="000C3543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11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Financial Reporting Standard 7: Financial Instruments – Disclosure</w:t>
      </w:r>
    </w:p>
    <w:p w14:paraId="16F84F7D" w14:textId="5C7529DC" w:rsidR="005C6D77" w:rsidRPr="000C3543" w:rsidRDefault="005C6D77" w:rsidP="000C35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NewRoman" w:hAnsi="TimesNewRoman"/>
          <w:color w:val="000000"/>
          <w:sz w:val="24"/>
          <w:szCs w:val="24"/>
        </w:rPr>
        <w:t>12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Financial Reporting Standard 9: Financial Instruments</w:t>
      </w:r>
    </w:p>
    <w:sectPr w:rsidR="005C6D77" w:rsidRPr="000C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New">
    <w:altName w:val="Courier New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2648"/>
    <w:multiLevelType w:val="hybridMultilevel"/>
    <w:tmpl w:val="4ADA1CFC"/>
    <w:lvl w:ilvl="0" w:tplc="1132F2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50"/>
    <w:rsid w:val="000C3543"/>
    <w:rsid w:val="00186348"/>
    <w:rsid w:val="00293A6F"/>
    <w:rsid w:val="00425031"/>
    <w:rsid w:val="005C6D77"/>
    <w:rsid w:val="00661535"/>
    <w:rsid w:val="0083459E"/>
    <w:rsid w:val="009A09EF"/>
    <w:rsid w:val="00A94A99"/>
    <w:rsid w:val="00D409B5"/>
    <w:rsid w:val="00D45112"/>
    <w:rsid w:val="00E91350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84E8"/>
  <w15:chartTrackingRefBased/>
  <w15:docId w15:val="{8A862095-9C01-471D-9CD6-CB89F5DC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91350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9135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91350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E91350"/>
    <w:rPr>
      <w:rFonts w:ascii="CourierNew" w:hAnsi="Courier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E91350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2023-01-16T01:20:00Z</dcterms:created>
  <dcterms:modified xsi:type="dcterms:W3CDTF">2023-01-16T02:05:00Z</dcterms:modified>
</cp:coreProperties>
</file>