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C218C8" w14:textId="6B7F8637" w:rsidR="00D37F7C" w:rsidRDefault="00A42C8A" w:rsidP="00415C2D">
      <w:pPr>
        <w:spacing w:after="0" w:line="312" w:lineRule="auto"/>
        <w:jc w:val="center"/>
        <w:rPr>
          <w:rFonts w:asciiTheme="majorHAnsi" w:hAnsiTheme="majorHAnsi" w:cstheme="majorHAnsi"/>
          <w:b/>
          <w:bCs/>
          <w:sz w:val="26"/>
          <w:szCs w:val="26"/>
        </w:rPr>
      </w:pPr>
      <w:r w:rsidRPr="00415C2D">
        <w:rPr>
          <w:rFonts w:asciiTheme="majorHAnsi" w:hAnsiTheme="majorHAnsi" w:cstheme="majorHAnsi"/>
          <w:b/>
          <w:bCs/>
          <w:sz w:val="26"/>
          <w:szCs w:val="26"/>
        </w:rPr>
        <w:t>THÔNG TƯ VÀ NGHỊ ĐỊNH MỚI CẦN CẬP NHẬT VỀ MỨC LƯƠNG CƠ SỞ NĂM 2021</w:t>
      </w:r>
    </w:p>
    <w:p w14:paraId="164CD1D0" w14:textId="6CC00C6C" w:rsidR="001023A9" w:rsidRPr="001023A9" w:rsidRDefault="001023A9" w:rsidP="00415C2D">
      <w:pPr>
        <w:spacing w:after="0" w:line="312" w:lineRule="auto"/>
        <w:jc w:val="center"/>
        <w:rPr>
          <w:rFonts w:asciiTheme="majorHAnsi" w:hAnsiTheme="majorHAnsi" w:cstheme="majorHAnsi"/>
          <w:b/>
          <w:bCs/>
          <w:sz w:val="26"/>
          <w:szCs w:val="26"/>
          <w:lang w:val="en-US"/>
        </w:rPr>
      </w:pPr>
      <w:r>
        <w:rPr>
          <w:rFonts w:asciiTheme="majorHAnsi" w:hAnsiTheme="majorHAnsi" w:cstheme="majorHAnsi"/>
          <w:b/>
          <w:bCs/>
          <w:sz w:val="26"/>
          <w:szCs w:val="26"/>
          <w:lang w:val="en-US"/>
        </w:rPr>
        <w:t>THS Võ Hồng Hạnh</w:t>
      </w:r>
      <w:bookmarkStart w:id="0" w:name="_GoBack"/>
      <w:bookmarkEnd w:id="0"/>
    </w:p>
    <w:p w14:paraId="13DB6A86" w14:textId="33352076" w:rsidR="00903556" w:rsidRPr="00415C2D" w:rsidRDefault="0005638A" w:rsidP="00415C2D">
      <w:pPr>
        <w:spacing w:after="0" w:line="312" w:lineRule="auto"/>
        <w:rPr>
          <w:rFonts w:asciiTheme="majorHAnsi" w:hAnsiTheme="majorHAnsi" w:cstheme="majorHAnsi"/>
          <w:sz w:val="26"/>
          <w:szCs w:val="26"/>
        </w:rPr>
      </w:pPr>
      <w:r w:rsidRPr="00415C2D">
        <w:rPr>
          <w:rFonts w:asciiTheme="majorHAnsi" w:hAnsiTheme="majorHAnsi" w:cstheme="majorHAnsi"/>
          <w:sz w:val="26"/>
          <w:szCs w:val="26"/>
        </w:rPr>
        <w:t>Với việc thay đổi một số chú ý khi tính lương trong năm 2021 thì một số điểm cần chú ý những thông tư và nghị</w:t>
      </w:r>
      <w:r w:rsidR="00903556" w:rsidRPr="00415C2D">
        <w:rPr>
          <w:rFonts w:asciiTheme="majorHAnsi" w:hAnsiTheme="majorHAnsi" w:cstheme="majorHAnsi"/>
          <w:sz w:val="26"/>
          <w:szCs w:val="26"/>
        </w:rPr>
        <w:t xml:space="preserve"> </w:t>
      </w:r>
      <w:r w:rsidRPr="00415C2D">
        <w:rPr>
          <w:rFonts w:asciiTheme="majorHAnsi" w:hAnsiTheme="majorHAnsi" w:cstheme="majorHAnsi"/>
          <w:sz w:val="26"/>
          <w:szCs w:val="26"/>
        </w:rPr>
        <w:t>định khi tính mức lương cơ sở trong năm 2021:</w:t>
      </w:r>
    </w:p>
    <w:p w14:paraId="14AC9FA0" w14:textId="7F2D9C8B" w:rsidR="00A42C8A" w:rsidRPr="00415C2D" w:rsidRDefault="00A42C8A" w:rsidP="00415C2D">
      <w:pPr>
        <w:spacing w:after="0" w:line="312" w:lineRule="auto"/>
        <w:rPr>
          <w:rFonts w:asciiTheme="majorHAnsi" w:hAnsiTheme="majorHAnsi" w:cstheme="majorHAnsi"/>
          <w:b/>
          <w:bCs/>
          <w:sz w:val="26"/>
          <w:szCs w:val="26"/>
        </w:rPr>
      </w:pPr>
      <w:r w:rsidRPr="00415C2D">
        <w:rPr>
          <w:rFonts w:asciiTheme="majorHAnsi" w:hAnsiTheme="majorHAnsi" w:cstheme="majorHAnsi"/>
          <w:b/>
          <w:bCs/>
          <w:sz w:val="26"/>
          <w:szCs w:val="26"/>
        </w:rPr>
        <w:t>Thông tư 04/2019/TT-BNV hướng dẫn thực hiện mức lương cơ sở</w:t>
      </w:r>
    </w:p>
    <w:p w14:paraId="5FEC4E8D" w14:textId="7FE1D21F" w:rsidR="00A42C8A" w:rsidRPr="00415C2D" w:rsidRDefault="00A42C8A" w:rsidP="00415C2D">
      <w:pPr>
        <w:spacing w:after="0" w:line="312" w:lineRule="auto"/>
        <w:rPr>
          <w:rFonts w:asciiTheme="majorHAnsi" w:hAnsiTheme="majorHAnsi" w:cstheme="majorHAnsi"/>
          <w:sz w:val="26"/>
          <w:szCs w:val="26"/>
        </w:rPr>
      </w:pPr>
      <w:r w:rsidRPr="00415C2D">
        <w:rPr>
          <w:rFonts w:asciiTheme="majorHAnsi" w:hAnsiTheme="majorHAnsi" w:cstheme="majorHAnsi"/>
          <w:sz w:val="26"/>
          <w:szCs w:val="26"/>
        </w:rPr>
        <w:t>Ngày 24 tháng 05 năm 2019, Bộ trưởng Bộ Nội vụ ban hành </w:t>
      </w:r>
      <w:hyperlink r:id="rId5" w:tgtFrame="_blank" w:tooltip="Thông tư số 04/2019/TT-BNV hướng dẫn thực hiện mức lương cơ sở" w:history="1">
        <w:r w:rsidRPr="00415C2D">
          <w:rPr>
            <w:rStyle w:val="Hyperlink"/>
            <w:rFonts w:asciiTheme="majorHAnsi" w:hAnsiTheme="majorHAnsi" w:cstheme="majorHAnsi"/>
            <w:sz w:val="26"/>
            <w:szCs w:val="26"/>
          </w:rPr>
          <w:t>Thông tư số 04/2019/TT-BNV hướng dẫn thực hiện mức lương cơ sở</w:t>
        </w:r>
      </w:hyperlink>
      <w:r w:rsidRPr="00415C2D">
        <w:rPr>
          <w:rFonts w:asciiTheme="majorHAnsi" w:hAnsiTheme="majorHAnsi" w:cstheme="majorHAnsi"/>
          <w:sz w:val="26"/>
          <w:szCs w:val="26"/>
        </w:rPr>
        <w:t> đối với các đối tượng hưởng lương, phụ cấp trong các cơ quan, tổ chức, đơn vị sự nghiệp công lập của Đảng, Nhà nước, tổ chức chính trị - xã hội và hội</w:t>
      </w:r>
      <w:r w:rsidR="00EB1C1C" w:rsidRPr="00415C2D">
        <w:rPr>
          <w:rFonts w:asciiTheme="majorHAnsi" w:hAnsiTheme="majorHAnsi" w:cstheme="majorHAnsi"/>
          <w:sz w:val="26"/>
          <w:szCs w:val="26"/>
        </w:rPr>
        <w:t>.</w:t>
      </w:r>
    </w:p>
    <w:p w14:paraId="0FB72EE3" w14:textId="77777777" w:rsidR="00EB1C1C" w:rsidRPr="00415C2D" w:rsidRDefault="00EB1C1C" w:rsidP="00415C2D">
      <w:pPr>
        <w:spacing w:after="0" w:line="312" w:lineRule="auto"/>
        <w:rPr>
          <w:rFonts w:asciiTheme="majorHAnsi" w:hAnsiTheme="majorHAnsi" w:cstheme="majorHAnsi"/>
          <w:b/>
          <w:bCs/>
          <w:sz w:val="26"/>
          <w:szCs w:val="26"/>
        </w:rPr>
      </w:pPr>
      <w:r w:rsidRPr="00415C2D">
        <w:rPr>
          <w:rFonts w:asciiTheme="majorHAnsi" w:hAnsiTheme="majorHAnsi" w:cstheme="majorHAnsi"/>
          <w:b/>
          <w:bCs/>
          <w:sz w:val="26"/>
          <w:szCs w:val="26"/>
        </w:rPr>
        <w:t>Nghị định 90/2019/NĐ-CP quy định mức lương tối thiểu vùng</w:t>
      </w:r>
    </w:p>
    <w:p w14:paraId="1546E9EC" w14:textId="26DD5458" w:rsidR="00EB1C1C" w:rsidRPr="00415C2D" w:rsidRDefault="00EB1C1C" w:rsidP="00415C2D">
      <w:pPr>
        <w:spacing w:after="0" w:line="312" w:lineRule="auto"/>
        <w:rPr>
          <w:rFonts w:asciiTheme="majorHAnsi" w:hAnsiTheme="majorHAnsi" w:cstheme="majorHAnsi"/>
          <w:sz w:val="26"/>
          <w:szCs w:val="26"/>
        </w:rPr>
      </w:pPr>
      <w:r w:rsidRPr="00415C2D">
        <w:rPr>
          <w:rFonts w:asciiTheme="majorHAnsi" w:hAnsiTheme="majorHAnsi" w:cstheme="majorHAnsi"/>
          <w:sz w:val="26"/>
          <w:szCs w:val="26"/>
        </w:rPr>
        <w:t>Ngày 15 tháng 11 năm 2019, Chính phủ ban hành </w:t>
      </w:r>
      <w:hyperlink r:id="rId6" w:tgtFrame="_blank" w:tooltip="Nghị định 90/2019/NĐ-CP quy định mức lương tối thiểu vùng" w:history="1">
        <w:r w:rsidRPr="00415C2D">
          <w:rPr>
            <w:rStyle w:val="Hyperlink"/>
            <w:rFonts w:asciiTheme="majorHAnsi" w:hAnsiTheme="majorHAnsi" w:cstheme="majorHAnsi"/>
            <w:sz w:val="26"/>
            <w:szCs w:val="26"/>
          </w:rPr>
          <w:t>Nghị định 90/2019/NĐ-CP quy định mức lương tối thiểu vùng</w:t>
        </w:r>
      </w:hyperlink>
      <w:r w:rsidRPr="00415C2D">
        <w:rPr>
          <w:rFonts w:asciiTheme="majorHAnsi" w:hAnsiTheme="majorHAnsi" w:cstheme="majorHAnsi"/>
          <w:sz w:val="26"/>
          <w:szCs w:val="26"/>
        </w:rPr>
        <w:t> đối với người lao động làm việc theo hợp đồng lao động.</w:t>
      </w:r>
    </w:p>
    <w:p w14:paraId="64E9E5EB" w14:textId="77777777" w:rsidR="00EB1C1C" w:rsidRPr="00415C2D" w:rsidRDefault="00EB1C1C" w:rsidP="00415C2D">
      <w:pPr>
        <w:spacing w:after="0" w:line="312" w:lineRule="auto"/>
        <w:rPr>
          <w:rFonts w:asciiTheme="majorHAnsi" w:hAnsiTheme="majorHAnsi" w:cstheme="majorHAnsi"/>
          <w:b/>
          <w:bCs/>
          <w:sz w:val="26"/>
          <w:szCs w:val="26"/>
        </w:rPr>
      </w:pPr>
      <w:r w:rsidRPr="00415C2D">
        <w:rPr>
          <w:rFonts w:asciiTheme="majorHAnsi" w:hAnsiTheme="majorHAnsi" w:cstheme="majorHAnsi"/>
          <w:b/>
          <w:bCs/>
          <w:sz w:val="26"/>
          <w:szCs w:val="26"/>
        </w:rPr>
        <w:t>Nghị định 38/2019/NĐ-CP quy định về mức lương cơ sở</w:t>
      </w:r>
    </w:p>
    <w:p w14:paraId="13F97BC1" w14:textId="47825F41" w:rsidR="00EB1C1C" w:rsidRPr="00415C2D" w:rsidRDefault="00EB1C1C" w:rsidP="00415C2D">
      <w:pPr>
        <w:spacing w:after="0" w:line="312" w:lineRule="auto"/>
        <w:rPr>
          <w:rFonts w:asciiTheme="majorHAnsi" w:hAnsiTheme="majorHAnsi" w:cstheme="majorHAnsi"/>
          <w:sz w:val="26"/>
          <w:szCs w:val="26"/>
        </w:rPr>
      </w:pPr>
      <w:r w:rsidRPr="00415C2D">
        <w:rPr>
          <w:rFonts w:asciiTheme="majorHAnsi" w:hAnsiTheme="majorHAnsi" w:cstheme="majorHAnsi"/>
          <w:sz w:val="26"/>
          <w:szCs w:val="26"/>
        </w:rPr>
        <w:t>Ngày 09 tháng 05 năm 2019, Chính phủ ban hành Nghị định số 38/2019/NĐ-CP về quy định mức </w:t>
      </w:r>
      <w:hyperlink r:id="rId7" w:tgtFrame="_blank" w:tooltip="lương cơ sở" w:history="1">
        <w:r w:rsidRPr="00415C2D">
          <w:rPr>
            <w:rStyle w:val="Hyperlink"/>
            <w:rFonts w:asciiTheme="majorHAnsi" w:hAnsiTheme="majorHAnsi" w:cstheme="majorHAnsi"/>
            <w:sz w:val="26"/>
            <w:szCs w:val="26"/>
          </w:rPr>
          <w:t>lương cơ sở</w:t>
        </w:r>
      </w:hyperlink>
      <w:r w:rsidRPr="00415C2D">
        <w:rPr>
          <w:rFonts w:asciiTheme="majorHAnsi" w:hAnsiTheme="majorHAnsi" w:cstheme="majorHAnsi"/>
          <w:sz w:val="26"/>
          <w:szCs w:val="26"/>
        </w:rPr>
        <w:t> đối với cán bộ công chức viên chức và lực lượng vũ trang.</w:t>
      </w:r>
    </w:p>
    <w:p w14:paraId="3ED1B000" w14:textId="77777777" w:rsidR="00EB1C1C" w:rsidRPr="00415C2D" w:rsidRDefault="00EB1C1C" w:rsidP="00415C2D">
      <w:pPr>
        <w:spacing w:after="0" w:line="312" w:lineRule="auto"/>
        <w:rPr>
          <w:rFonts w:asciiTheme="majorHAnsi" w:hAnsiTheme="majorHAnsi" w:cstheme="majorHAnsi"/>
          <w:b/>
          <w:bCs/>
          <w:sz w:val="26"/>
          <w:szCs w:val="26"/>
        </w:rPr>
      </w:pPr>
      <w:r w:rsidRPr="00415C2D">
        <w:rPr>
          <w:rFonts w:asciiTheme="majorHAnsi" w:hAnsiTheme="majorHAnsi" w:cstheme="majorHAnsi"/>
          <w:b/>
          <w:bCs/>
          <w:sz w:val="26"/>
          <w:szCs w:val="26"/>
        </w:rPr>
        <w:t>Thông tư số 10/2020/TT-BLĐTBXH hướng dẫn thi hành một số điều của Bộ Luật lao động</w:t>
      </w:r>
    </w:p>
    <w:p w14:paraId="6F8D1967" w14:textId="182B148E" w:rsidR="00EB1C1C" w:rsidRPr="00415C2D" w:rsidRDefault="00EB1C1C" w:rsidP="00415C2D">
      <w:pPr>
        <w:spacing w:after="0" w:line="312" w:lineRule="auto"/>
        <w:rPr>
          <w:rFonts w:asciiTheme="majorHAnsi" w:hAnsiTheme="majorHAnsi" w:cstheme="majorHAnsi"/>
          <w:sz w:val="26"/>
          <w:szCs w:val="26"/>
        </w:rPr>
      </w:pPr>
      <w:r w:rsidRPr="00415C2D">
        <w:rPr>
          <w:rFonts w:asciiTheme="majorHAnsi" w:hAnsiTheme="majorHAnsi" w:cstheme="majorHAnsi"/>
          <w:sz w:val="26"/>
          <w:szCs w:val="26"/>
        </w:rPr>
        <w:t>Ngày 12 tháng 11 năm 2020, Bộ trưởng Bộ Lao động – Thương binh và Xã hội ban hành </w:t>
      </w:r>
      <w:hyperlink r:id="rId8" w:tgtFrame="_blank" w:tooltip="Thông tư số 10/2020/TT-BLĐTBXH" w:history="1">
        <w:r w:rsidRPr="00415C2D">
          <w:rPr>
            <w:rStyle w:val="Hyperlink"/>
            <w:rFonts w:asciiTheme="majorHAnsi" w:hAnsiTheme="majorHAnsi" w:cstheme="majorHAnsi"/>
            <w:sz w:val="26"/>
            <w:szCs w:val="26"/>
          </w:rPr>
          <w:t>Thông tư số 10/2020/TT-BLĐTBXH</w:t>
        </w:r>
      </w:hyperlink>
      <w:r w:rsidRPr="00415C2D">
        <w:rPr>
          <w:rFonts w:asciiTheme="majorHAnsi" w:hAnsiTheme="majorHAnsi" w:cstheme="majorHAnsi"/>
          <w:sz w:val="26"/>
          <w:szCs w:val="26"/>
        </w:rPr>
        <w:t> quy định chi tiết và hướng dẫn thi hành một số điều của Bộ luật Lao động về nội dung của hợp đồng lao động, Hội đồng thương lượng tập thể và nghề, công việc có ảnh hưởng xấu tới chức năng sinh sản, nuôi con.</w:t>
      </w:r>
    </w:p>
    <w:p w14:paraId="47C03C37" w14:textId="6DFA684D" w:rsidR="0005638A" w:rsidRPr="00415C2D" w:rsidRDefault="0005638A" w:rsidP="00415C2D">
      <w:pPr>
        <w:spacing w:after="0" w:line="312" w:lineRule="auto"/>
        <w:rPr>
          <w:rFonts w:asciiTheme="majorHAnsi" w:hAnsiTheme="majorHAnsi" w:cstheme="majorHAnsi"/>
          <w:b/>
          <w:bCs/>
          <w:sz w:val="26"/>
          <w:szCs w:val="26"/>
        </w:rPr>
      </w:pPr>
      <w:r w:rsidRPr="00415C2D">
        <w:rPr>
          <w:rFonts w:asciiTheme="majorHAnsi" w:hAnsiTheme="majorHAnsi" w:cstheme="majorHAnsi"/>
          <w:b/>
          <w:bCs/>
          <w:sz w:val="26"/>
          <w:szCs w:val="26"/>
        </w:rPr>
        <w:t>Vậy:</w:t>
      </w:r>
    </w:p>
    <w:p w14:paraId="200049DA" w14:textId="2E929A83" w:rsidR="0005638A" w:rsidRPr="00415C2D" w:rsidRDefault="001023A9" w:rsidP="00415C2D">
      <w:pPr>
        <w:spacing w:after="0" w:line="312" w:lineRule="auto"/>
        <w:rPr>
          <w:b/>
          <w:bCs/>
          <w:sz w:val="26"/>
          <w:szCs w:val="26"/>
        </w:rPr>
      </w:pPr>
      <w:hyperlink r:id="rId9" w:anchor="mcetoc_1erdoq5lv3" w:history="1">
        <w:r w:rsidR="00D406E2" w:rsidRPr="00415C2D">
          <w:rPr>
            <w:rStyle w:val="Hyperlink"/>
            <w:b/>
            <w:bCs/>
            <w:color w:val="auto"/>
            <w:sz w:val="26"/>
            <w:szCs w:val="26"/>
            <w:u w:val="none"/>
          </w:rPr>
          <w:t>1.</w:t>
        </w:r>
        <w:r w:rsidR="0005638A" w:rsidRPr="00415C2D">
          <w:rPr>
            <w:rStyle w:val="Hyperlink"/>
            <w:b/>
            <w:bCs/>
            <w:color w:val="auto"/>
            <w:sz w:val="26"/>
            <w:szCs w:val="26"/>
            <w:u w:val="none"/>
          </w:rPr>
          <w:t xml:space="preserve"> Lương cơ sở là gì?</w:t>
        </w:r>
      </w:hyperlink>
    </w:p>
    <w:p w14:paraId="461DE29F" w14:textId="53A56624" w:rsidR="0005638A" w:rsidRPr="00415C2D" w:rsidRDefault="001023A9" w:rsidP="00415C2D">
      <w:pPr>
        <w:spacing w:after="0" w:line="312" w:lineRule="auto"/>
        <w:rPr>
          <w:b/>
          <w:bCs/>
          <w:sz w:val="26"/>
          <w:szCs w:val="26"/>
        </w:rPr>
      </w:pPr>
      <w:hyperlink r:id="rId10" w:anchor="mcetoc_1erdq6nkf4" w:history="1">
        <w:r w:rsidR="00D406E2" w:rsidRPr="00415C2D">
          <w:rPr>
            <w:rStyle w:val="Hyperlink"/>
            <w:b/>
            <w:bCs/>
            <w:color w:val="auto"/>
            <w:sz w:val="26"/>
            <w:szCs w:val="26"/>
            <w:u w:val="none"/>
          </w:rPr>
          <w:t>2.</w:t>
        </w:r>
        <w:r w:rsidR="0005638A" w:rsidRPr="00415C2D">
          <w:rPr>
            <w:rStyle w:val="Hyperlink"/>
            <w:b/>
            <w:bCs/>
            <w:color w:val="auto"/>
            <w:sz w:val="26"/>
            <w:szCs w:val="26"/>
            <w:u w:val="none"/>
          </w:rPr>
          <w:t xml:space="preserve"> Phân biệt mức lương làm cơ sở và mức lương tối thiểu vùng</w:t>
        </w:r>
      </w:hyperlink>
    </w:p>
    <w:p w14:paraId="038BD0F9" w14:textId="48DAE4C2" w:rsidR="0005638A" w:rsidRPr="00415C2D" w:rsidRDefault="001023A9" w:rsidP="00415C2D">
      <w:pPr>
        <w:spacing w:after="0" w:line="312" w:lineRule="auto"/>
        <w:rPr>
          <w:b/>
          <w:bCs/>
          <w:sz w:val="26"/>
          <w:szCs w:val="26"/>
        </w:rPr>
      </w:pPr>
      <w:hyperlink r:id="rId11" w:anchor="mcetoc_1erdrs1fdd" w:history="1">
        <w:r w:rsidR="00D406E2" w:rsidRPr="00415C2D">
          <w:rPr>
            <w:rStyle w:val="Hyperlink"/>
            <w:b/>
            <w:bCs/>
            <w:color w:val="auto"/>
            <w:sz w:val="26"/>
            <w:szCs w:val="26"/>
            <w:u w:val="none"/>
          </w:rPr>
          <w:t>3.</w:t>
        </w:r>
        <w:r w:rsidR="0005638A" w:rsidRPr="00415C2D">
          <w:rPr>
            <w:rStyle w:val="Hyperlink"/>
            <w:b/>
            <w:bCs/>
            <w:color w:val="auto"/>
            <w:sz w:val="26"/>
            <w:szCs w:val="26"/>
            <w:u w:val="none"/>
          </w:rPr>
          <w:t xml:space="preserve"> Căn cứ pháp lý</w:t>
        </w:r>
      </w:hyperlink>
    </w:p>
    <w:p w14:paraId="25DC8074" w14:textId="1E5000CC" w:rsidR="0005638A" w:rsidRPr="00415C2D" w:rsidRDefault="001023A9" w:rsidP="00415C2D">
      <w:pPr>
        <w:spacing w:after="0" w:line="312" w:lineRule="auto"/>
        <w:rPr>
          <w:b/>
          <w:bCs/>
          <w:sz w:val="26"/>
          <w:szCs w:val="26"/>
        </w:rPr>
      </w:pPr>
      <w:hyperlink r:id="rId12" w:anchor="mcetoc_1erdsclogh" w:history="1">
        <w:r w:rsidR="00D406E2" w:rsidRPr="00415C2D">
          <w:rPr>
            <w:rStyle w:val="Hyperlink"/>
            <w:b/>
            <w:bCs/>
            <w:color w:val="auto"/>
            <w:sz w:val="26"/>
            <w:szCs w:val="26"/>
            <w:u w:val="none"/>
          </w:rPr>
          <w:t>4</w:t>
        </w:r>
        <w:r w:rsidR="0005638A" w:rsidRPr="00415C2D">
          <w:rPr>
            <w:rStyle w:val="Hyperlink"/>
            <w:b/>
            <w:bCs/>
            <w:color w:val="auto"/>
            <w:sz w:val="26"/>
            <w:szCs w:val="26"/>
            <w:u w:val="none"/>
          </w:rPr>
          <w:t>. Các đối tượng được áp dụng</w:t>
        </w:r>
      </w:hyperlink>
    </w:p>
    <w:p w14:paraId="1738AB20" w14:textId="439E7504" w:rsidR="0005638A" w:rsidRPr="00415C2D" w:rsidRDefault="001023A9" w:rsidP="00415C2D">
      <w:pPr>
        <w:spacing w:after="0" w:line="312" w:lineRule="auto"/>
        <w:rPr>
          <w:b/>
          <w:bCs/>
          <w:sz w:val="26"/>
          <w:szCs w:val="26"/>
        </w:rPr>
      </w:pPr>
      <w:hyperlink r:id="rId13" w:anchor="mcetoc_1erdslvhmi" w:history="1">
        <w:r w:rsidR="00D406E2" w:rsidRPr="00415C2D">
          <w:rPr>
            <w:rStyle w:val="Hyperlink"/>
            <w:b/>
            <w:bCs/>
            <w:color w:val="auto"/>
            <w:sz w:val="26"/>
            <w:szCs w:val="26"/>
            <w:u w:val="none"/>
          </w:rPr>
          <w:t>5</w:t>
        </w:r>
        <w:r w:rsidR="0005638A" w:rsidRPr="00415C2D">
          <w:rPr>
            <w:rStyle w:val="Hyperlink"/>
            <w:b/>
            <w:bCs/>
            <w:color w:val="auto"/>
            <w:sz w:val="26"/>
            <w:szCs w:val="26"/>
            <w:u w:val="none"/>
          </w:rPr>
          <w:t>. Mức lương cơ sở năm 2021, năm 2020</w:t>
        </w:r>
      </w:hyperlink>
    </w:p>
    <w:p w14:paraId="74099AF3" w14:textId="4E1F642D" w:rsidR="0005638A" w:rsidRPr="00415C2D" w:rsidRDefault="001023A9" w:rsidP="00415C2D">
      <w:pPr>
        <w:spacing w:after="0" w:line="312" w:lineRule="auto"/>
        <w:rPr>
          <w:b/>
          <w:bCs/>
          <w:sz w:val="26"/>
          <w:szCs w:val="26"/>
        </w:rPr>
      </w:pPr>
      <w:hyperlink r:id="rId14" w:anchor="mcetoc_1erdtji500" w:history="1">
        <w:r w:rsidR="00D406E2" w:rsidRPr="00415C2D">
          <w:rPr>
            <w:rStyle w:val="Hyperlink"/>
            <w:b/>
            <w:bCs/>
            <w:color w:val="auto"/>
            <w:sz w:val="26"/>
            <w:szCs w:val="26"/>
            <w:u w:val="none"/>
          </w:rPr>
          <w:t>6</w:t>
        </w:r>
        <w:r w:rsidR="0005638A" w:rsidRPr="00415C2D">
          <w:rPr>
            <w:rStyle w:val="Hyperlink"/>
            <w:b/>
            <w:bCs/>
            <w:color w:val="auto"/>
            <w:sz w:val="26"/>
            <w:szCs w:val="26"/>
            <w:u w:val="none"/>
          </w:rPr>
          <w:t>. Mức lương tối thiểu chung qua các năm</w:t>
        </w:r>
      </w:hyperlink>
    </w:p>
    <w:p w14:paraId="2F8A628D" w14:textId="1187FDDA" w:rsidR="0005638A" w:rsidRPr="00415C2D" w:rsidRDefault="001023A9" w:rsidP="00415C2D">
      <w:pPr>
        <w:spacing w:after="0" w:line="312" w:lineRule="auto"/>
        <w:rPr>
          <w:b/>
          <w:bCs/>
          <w:sz w:val="26"/>
          <w:szCs w:val="26"/>
        </w:rPr>
      </w:pPr>
      <w:hyperlink r:id="rId15" w:anchor="mcetoc_1erduhpbf1" w:history="1">
        <w:r w:rsidR="00D406E2" w:rsidRPr="00415C2D">
          <w:rPr>
            <w:rStyle w:val="Hyperlink"/>
            <w:b/>
            <w:bCs/>
            <w:color w:val="auto"/>
            <w:sz w:val="26"/>
            <w:szCs w:val="26"/>
            <w:u w:val="none"/>
          </w:rPr>
          <w:t>7</w:t>
        </w:r>
        <w:r w:rsidR="0005638A" w:rsidRPr="00415C2D">
          <w:rPr>
            <w:rStyle w:val="Hyperlink"/>
            <w:b/>
            <w:bCs/>
            <w:color w:val="auto"/>
            <w:sz w:val="26"/>
            <w:szCs w:val="26"/>
            <w:u w:val="none"/>
          </w:rPr>
          <w:t>. Lộ trình cải cách tiền lương</w:t>
        </w:r>
      </w:hyperlink>
    </w:p>
    <w:p w14:paraId="14395761" w14:textId="77777777" w:rsidR="00415C2D" w:rsidRDefault="00415C2D" w:rsidP="00415C2D">
      <w:pPr>
        <w:spacing w:after="0" w:line="312" w:lineRule="auto"/>
        <w:rPr>
          <w:rFonts w:asciiTheme="majorHAnsi" w:hAnsiTheme="majorHAnsi" w:cstheme="majorHAnsi"/>
          <w:sz w:val="26"/>
          <w:szCs w:val="26"/>
          <w:lang w:val="en-US"/>
        </w:rPr>
      </w:pPr>
      <w:r>
        <w:rPr>
          <w:rFonts w:asciiTheme="majorHAnsi" w:hAnsiTheme="majorHAnsi" w:cstheme="majorHAnsi"/>
          <w:sz w:val="26"/>
          <w:szCs w:val="26"/>
          <w:lang w:val="en-US"/>
        </w:rPr>
        <w:t>Đầu tiên chúng ta cần tìm hiểu:</w:t>
      </w:r>
    </w:p>
    <w:p w14:paraId="0784187C" w14:textId="72ED5DBF" w:rsidR="00415C2D" w:rsidRPr="00415C2D" w:rsidRDefault="00415C2D" w:rsidP="00415C2D">
      <w:pPr>
        <w:pStyle w:val="ListParagraph"/>
        <w:numPr>
          <w:ilvl w:val="0"/>
          <w:numId w:val="5"/>
        </w:numPr>
        <w:spacing w:after="0" w:line="312" w:lineRule="auto"/>
        <w:rPr>
          <w:rFonts w:asciiTheme="majorHAnsi" w:hAnsiTheme="majorHAnsi" w:cstheme="majorHAnsi"/>
          <w:sz w:val="26"/>
          <w:szCs w:val="26"/>
        </w:rPr>
      </w:pPr>
      <w:r w:rsidRPr="00415C2D">
        <w:rPr>
          <w:rFonts w:asciiTheme="majorHAnsi" w:hAnsiTheme="majorHAnsi" w:cstheme="majorHAnsi"/>
          <w:sz w:val="26"/>
          <w:szCs w:val="26"/>
        </w:rPr>
        <w:t>Lương cơ sở hay còn gọi là mức lương tối thiếu chung là mức lương dùng làm căn cứ để xác định:</w:t>
      </w:r>
    </w:p>
    <w:p w14:paraId="71AC12E1" w14:textId="77777777" w:rsidR="00415C2D" w:rsidRPr="00415C2D" w:rsidRDefault="00415C2D" w:rsidP="00415C2D">
      <w:pPr>
        <w:spacing w:after="0" w:line="312" w:lineRule="auto"/>
        <w:rPr>
          <w:rFonts w:asciiTheme="majorHAnsi" w:hAnsiTheme="majorHAnsi" w:cstheme="majorHAnsi"/>
          <w:sz w:val="26"/>
          <w:szCs w:val="26"/>
        </w:rPr>
      </w:pPr>
      <w:r w:rsidRPr="00415C2D">
        <w:rPr>
          <w:rFonts w:asciiTheme="majorHAnsi" w:hAnsiTheme="majorHAnsi" w:cstheme="majorHAnsi"/>
          <w:sz w:val="26"/>
          <w:szCs w:val="26"/>
        </w:rPr>
        <w:t>Tính mức lương trong các bảng lương, mức phụ cấp và thực hiện các chế độ khác theo quy định của pháp luật đối với các đối tượng được tính theo mức lương này;</w:t>
      </w:r>
    </w:p>
    <w:p w14:paraId="715D26AA" w14:textId="77777777" w:rsidR="00415C2D" w:rsidRPr="00415C2D" w:rsidRDefault="00415C2D" w:rsidP="00415C2D">
      <w:pPr>
        <w:spacing w:after="0" w:line="312" w:lineRule="auto"/>
        <w:rPr>
          <w:rFonts w:asciiTheme="majorHAnsi" w:hAnsiTheme="majorHAnsi" w:cstheme="majorHAnsi"/>
          <w:sz w:val="26"/>
          <w:szCs w:val="26"/>
        </w:rPr>
      </w:pPr>
      <w:r w:rsidRPr="00415C2D">
        <w:rPr>
          <w:rFonts w:asciiTheme="majorHAnsi" w:hAnsiTheme="majorHAnsi" w:cstheme="majorHAnsi"/>
          <w:sz w:val="26"/>
          <w:szCs w:val="26"/>
        </w:rPr>
        <w:t>Tính mức hoạt động phí, sinh hoạt phí theo quy định của pháp luật;</w:t>
      </w:r>
    </w:p>
    <w:p w14:paraId="1DA13B60" w14:textId="77777777" w:rsidR="00415C2D" w:rsidRPr="00415C2D" w:rsidRDefault="00415C2D" w:rsidP="00415C2D">
      <w:pPr>
        <w:spacing w:after="0" w:line="312" w:lineRule="auto"/>
        <w:rPr>
          <w:rFonts w:asciiTheme="majorHAnsi" w:hAnsiTheme="majorHAnsi" w:cstheme="majorHAnsi"/>
          <w:sz w:val="26"/>
          <w:szCs w:val="26"/>
        </w:rPr>
      </w:pPr>
      <w:r w:rsidRPr="00415C2D">
        <w:rPr>
          <w:rFonts w:asciiTheme="majorHAnsi" w:hAnsiTheme="majorHAnsi" w:cstheme="majorHAnsi"/>
          <w:sz w:val="26"/>
          <w:szCs w:val="26"/>
        </w:rPr>
        <w:lastRenderedPageBreak/>
        <w:t>Tính các khoản trích và các chế độ được hưởng theo mức lương này.</w:t>
      </w:r>
    </w:p>
    <w:p w14:paraId="4D6F8FD7" w14:textId="0A575F9F" w:rsidR="00415C2D" w:rsidRPr="00415C2D" w:rsidRDefault="00415C2D" w:rsidP="00415C2D">
      <w:pPr>
        <w:spacing w:after="0" w:line="312" w:lineRule="auto"/>
        <w:rPr>
          <w:rFonts w:asciiTheme="majorHAnsi" w:hAnsiTheme="majorHAnsi" w:cstheme="majorHAnsi"/>
          <w:b/>
          <w:bCs/>
          <w:sz w:val="26"/>
          <w:szCs w:val="26"/>
        </w:rPr>
      </w:pPr>
      <w:r w:rsidRPr="00415C2D">
        <w:rPr>
          <w:rFonts w:asciiTheme="majorHAnsi" w:hAnsiTheme="majorHAnsi" w:cstheme="majorHAnsi"/>
          <w:b/>
          <w:bCs/>
          <w:sz w:val="26"/>
          <w:szCs w:val="26"/>
          <w:lang w:val="en-US"/>
        </w:rPr>
        <w:t>2.</w:t>
      </w:r>
      <w:r w:rsidRPr="00415C2D">
        <w:rPr>
          <w:rFonts w:asciiTheme="majorHAnsi" w:hAnsiTheme="majorHAnsi" w:cstheme="majorHAnsi"/>
          <w:b/>
          <w:bCs/>
          <w:sz w:val="26"/>
          <w:szCs w:val="26"/>
        </w:rPr>
        <w:t xml:space="preserve"> Phân biệt mức lương làm cơ sở và mức lương tối thiểu vùng</w:t>
      </w:r>
    </w:p>
    <w:tbl>
      <w:tblPr>
        <w:tblW w:w="9348" w:type="dxa"/>
        <w:tblBorders>
          <w:top w:val="single" w:sz="6" w:space="0" w:color="909090"/>
          <w:left w:val="single" w:sz="6" w:space="0" w:color="909090"/>
          <w:bottom w:val="single" w:sz="6" w:space="0" w:color="909090"/>
          <w:right w:val="single" w:sz="6" w:space="0" w:color="909090"/>
        </w:tblBorders>
        <w:tblCellMar>
          <w:left w:w="0" w:type="dxa"/>
          <w:right w:w="0" w:type="dxa"/>
        </w:tblCellMar>
        <w:tblLook w:val="04A0" w:firstRow="1" w:lastRow="0" w:firstColumn="1" w:lastColumn="0" w:noHBand="0" w:noVBand="1"/>
      </w:tblPr>
      <w:tblGrid>
        <w:gridCol w:w="1158"/>
        <w:gridCol w:w="4079"/>
        <w:gridCol w:w="4111"/>
      </w:tblGrid>
      <w:tr w:rsidR="00415C2D" w:rsidRPr="00415C2D" w14:paraId="1F3D2AD6" w14:textId="77777777" w:rsidTr="00415C2D">
        <w:tc>
          <w:tcPr>
            <w:tcW w:w="1158" w:type="dxa"/>
            <w:tcBorders>
              <w:top w:val="single" w:sz="6" w:space="0" w:color="909090"/>
              <w:left w:val="single" w:sz="6" w:space="0" w:color="909090"/>
              <w:bottom w:val="single" w:sz="6" w:space="0" w:color="909090"/>
              <w:right w:val="single" w:sz="6" w:space="0" w:color="909090"/>
            </w:tcBorders>
            <w:tcMar>
              <w:top w:w="75" w:type="dxa"/>
              <w:left w:w="75" w:type="dxa"/>
              <w:bottom w:w="75" w:type="dxa"/>
              <w:right w:w="75" w:type="dxa"/>
            </w:tcMar>
            <w:vAlign w:val="center"/>
            <w:hideMark/>
          </w:tcPr>
          <w:p w14:paraId="4BEE0D43" w14:textId="77777777" w:rsidR="00415C2D" w:rsidRPr="00415C2D" w:rsidRDefault="00415C2D" w:rsidP="00415C2D">
            <w:pPr>
              <w:spacing w:after="0" w:line="312" w:lineRule="auto"/>
              <w:rPr>
                <w:rFonts w:asciiTheme="majorHAnsi" w:hAnsiTheme="majorHAnsi" w:cstheme="majorHAnsi"/>
                <w:sz w:val="26"/>
                <w:szCs w:val="26"/>
              </w:rPr>
            </w:pPr>
            <w:r w:rsidRPr="00415C2D">
              <w:rPr>
                <w:rFonts w:asciiTheme="majorHAnsi" w:hAnsiTheme="majorHAnsi" w:cstheme="majorHAnsi"/>
                <w:sz w:val="26"/>
                <w:szCs w:val="26"/>
              </w:rPr>
              <w:t>Tiêu chí</w:t>
            </w:r>
          </w:p>
        </w:tc>
        <w:tc>
          <w:tcPr>
            <w:tcW w:w="4079" w:type="dxa"/>
            <w:tcBorders>
              <w:top w:val="single" w:sz="6" w:space="0" w:color="909090"/>
              <w:left w:val="single" w:sz="6" w:space="0" w:color="909090"/>
              <w:bottom w:val="single" w:sz="6" w:space="0" w:color="909090"/>
              <w:right w:val="single" w:sz="6" w:space="0" w:color="909090"/>
            </w:tcBorders>
            <w:tcMar>
              <w:top w:w="75" w:type="dxa"/>
              <w:left w:w="75" w:type="dxa"/>
              <w:bottom w:w="75" w:type="dxa"/>
              <w:right w:w="75" w:type="dxa"/>
            </w:tcMar>
            <w:vAlign w:val="center"/>
            <w:hideMark/>
          </w:tcPr>
          <w:p w14:paraId="067F9B3C" w14:textId="77777777" w:rsidR="00415C2D" w:rsidRPr="00415C2D" w:rsidRDefault="00415C2D" w:rsidP="00415C2D">
            <w:pPr>
              <w:spacing w:after="0" w:line="312" w:lineRule="auto"/>
              <w:rPr>
                <w:rFonts w:asciiTheme="majorHAnsi" w:hAnsiTheme="majorHAnsi" w:cstheme="majorHAnsi"/>
                <w:sz w:val="26"/>
                <w:szCs w:val="26"/>
              </w:rPr>
            </w:pPr>
            <w:r w:rsidRPr="00415C2D">
              <w:rPr>
                <w:rFonts w:asciiTheme="majorHAnsi" w:hAnsiTheme="majorHAnsi" w:cstheme="majorHAnsi"/>
                <w:sz w:val="26"/>
                <w:szCs w:val="26"/>
              </w:rPr>
              <w:t>Mức lương cơ sở</w:t>
            </w:r>
          </w:p>
        </w:tc>
        <w:tc>
          <w:tcPr>
            <w:tcW w:w="4111" w:type="dxa"/>
            <w:tcBorders>
              <w:top w:val="single" w:sz="6" w:space="0" w:color="909090"/>
              <w:left w:val="single" w:sz="6" w:space="0" w:color="909090"/>
              <w:bottom w:val="single" w:sz="6" w:space="0" w:color="909090"/>
              <w:right w:val="single" w:sz="6" w:space="0" w:color="909090"/>
            </w:tcBorders>
            <w:tcMar>
              <w:top w:w="75" w:type="dxa"/>
              <w:left w:w="75" w:type="dxa"/>
              <w:bottom w:w="75" w:type="dxa"/>
              <w:right w:w="75" w:type="dxa"/>
            </w:tcMar>
            <w:vAlign w:val="center"/>
            <w:hideMark/>
          </w:tcPr>
          <w:p w14:paraId="687302BE" w14:textId="77777777" w:rsidR="00415C2D" w:rsidRPr="00415C2D" w:rsidRDefault="00415C2D" w:rsidP="00415C2D">
            <w:pPr>
              <w:spacing w:after="0" w:line="312" w:lineRule="auto"/>
              <w:rPr>
                <w:rFonts w:asciiTheme="majorHAnsi" w:hAnsiTheme="majorHAnsi" w:cstheme="majorHAnsi"/>
                <w:sz w:val="26"/>
                <w:szCs w:val="26"/>
              </w:rPr>
            </w:pPr>
            <w:r w:rsidRPr="00415C2D">
              <w:rPr>
                <w:rFonts w:asciiTheme="majorHAnsi" w:hAnsiTheme="majorHAnsi" w:cstheme="majorHAnsi"/>
                <w:sz w:val="26"/>
                <w:szCs w:val="26"/>
              </w:rPr>
              <w:t>Mức lương tối thiểu vùng</w:t>
            </w:r>
          </w:p>
        </w:tc>
      </w:tr>
      <w:tr w:rsidR="00415C2D" w:rsidRPr="00415C2D" w14:paraId="4EC93DB9" w14:textId="77777777" w:rsidTr="00415C2D">
        <w:tc>
          <w:tcPr>
            <w:tcW w:w="1158" w:type="dxa"/>
            <w:tcBorders>
              <w:top w:val="single" w:sz="6" w:space="0" w:color="909090"/>
              <w:left w:val="single" w:sz="6" w:space="0" w:color="909090"/>
              <w:bottom w:val="single" w:sz="6" w:space="0" w:color="909090"/>
              <w:right w:val="single" w:sz="6" w:space="0" w:color="909090"/>
            </w:tcBorders>
            <w:tcMar>
              <w:top w:w="75" w:type="dxa"/>
              <w:left w:w="75" w:type="dxa"/>
              <w:bottom w:w="75" w:type="dxa"/>
              <w:right w:w="75" w:type="dxa"/>
            </w:tcMar>
            <w:vAlign w:val="center"/>
            <w:hideMark/>
          </w:tcPr>
          <w:p w14:paraId="08A1183B" w14:textId="77777777" w:rsidR="00415C2D" w:rsidRPr="00415C2D" w:rsidRDefault="00415C2D" w:rsidP="00415C2D">
            <w:pPr>
              <w:spacing w:after="0" w:line="312" w:lineRule="auto"/>
              <w:rPr>
                <w:rFonts w:asciiTheme="majorHAnsi" w:hAnsiTheme="majorHAnsi" w:cstheme="majorHAnsi"/>
                <w:sz w:val="26"/>
                <w:szCs w:val="26"/>
              </w:rPr>
            </w:pPr>
            <w:r w:rsidRPr="00415C2D">
              <w:rPr>
                <w:rFonts w:asciiTheme="majorHAnsi" w:hAnsiTheme="majorHAnsi" w:cstheme="majorHAnsi"/>
                <w:sz w:val="26"/>
                <w:szCs w:val="26"/>
              </w:rPr>
              <w:t>Khái niệm</w:t>
            </w:r>
          </w:p>
        </w:tc>
        <w:tc>
          <w:tcPr>
            <w:tcW w:w="4079" w:type="dxa"/>
            <w:tcBorders>
              <w:top w:val="single" w:sz="6" w:space="0" w:color="909090"/>
              <w:left w:val="single" w:sz="6" w:space="0" w:color="909090"/>
              <w:bottom w:val="single" w:sz="6" w:space="0" w:color="909090"/>
              <w:right w:val="single" w:sz="6" w:space="0" w:color="909090"/>
            </w:tcBorders>
            <w:tcMar>
              <w:top w:w="75" w:type="dxa"/>
              <w:left w:w="75" w:type="dxa"/>
              <w:bottom w:w="75" w:type="dxa"/>
              <w:right w:w="75" w:type="dxa"/>
            </w:tcMar>
            <w:vAlign w:val="center"/>
            <w:hideMark/>
          </w:tcPr>
          <w:p w14:paraId="272B43A9" w14:textId="77777777" w:rsidR="00415C2D" w:rsidRPr="00415C2D" w:rsidRDefault="00415C2D" w:rsidP="00415C2D">
            <w:pPr>
              <w:spacing w:after="0" w:line="312" w:lineRule="auto"/>
              <w:rPr>
                <w:rFonts w:asciiTheme="majorHAnsi" w:hAnsiTheme="majorHAnsi" w:cstheme="majorHAnsi"/>
                <w:sz w:val="26"/>
                <w:szCs w:val="26"/>
              </w:rPr>
            </w:pPr>
            <w:r w:rsidRPr="00415C2D">
              <w:rPr>
                <w:rFonts w:asciiTheme="majorHAnsi" w:hAnsiTheme="majorHAnsi" w:cstheme="majorHAnsi"/>
                <w:sz w:val="26"/>
                <w:szCs w:val="26"/>
              </w:rPr>
              <w:t>Là mức lương dùng làm căn cứ tính mức lương trong các bảng lương, mức phụ cấp và thực hiện các chế độ khác, tính các mức hoạt động phí, tính các khoản trích và chế độ được hưởng theo mức lương này.</w:t>
            </w:r>
          </w:p>
        </w:tc>
        <w:tc>
          <w:tcPr>
            <w:tcW w:w="4111" w:type="dxa"/>
            <w:tcBorders>
              <w:top w:val="single" w:sz="6" w:space="0" w:color="909090"/>
              <w:left w:val="single" w:sz="6" w:space="0" w:color="909090"/>
              <w:bottom w:val="single" w:sz="6" w:space="0" w:color="909090"/>
              <w:right w:val="single" w:sz="6" w:space="0" w:color="909090"/>
            </w:tcBorders>
            <w:tcMar>
              <w:top w:w="75" w:type="dxa"/>
              <w:left w:w="75" w:type="dxa"/>
              <w:bottom w:w="75" w:type="dxa"/>
              <w:right w:w="75" w:type="dxa"/>
            </w:tcMar>
            <w:vAlign w:val="center"/>
            <w:hideMark/>
          </w:tcPr>
          <w:p w14:paraId="41CF7506" w14:textId="77777777" w:rsidR="00415C2D" w:rsidRPr="00415C2D" w:rsidRDefault="00415C2D" w:rsidP="00415C2D">
            <w:pPr>
              <w:spacing w:after="0" w:line="312" w:lineRule="auto"/>
              <w:rPr>
                <w:rFonts w:asciiTheme="majorHAnsi" w:hAnsiTheme="majorHAnsi" w:cstheme="majorHAnsi"/>
                <w:sz w:val="26"/>
                <w:szCs w:val="26"/>
              </w:rPr>
            </w:pPr>
            <w:r w:rsidRPr="00415C2D">
              <w:rPr>
                <w:rFonts w:asciiTheme="majorHAnsi" w:hAnsiTheme="majorHAnsi" w:cstheme="majorHAnsi"/>
                <w:sz w:val="26"/>
                <w:szCs w:val="26"/>
              </w:rPr>
              <w:t>Đây là mức lương thấp nhất làm cơ sở để Doanh nghiệp và người lao động thỏa thuận và trả lương.</w:t>
            </w:r>
          </w:p>
        </w:tc>
      </w:tr>
      <w:tr w:rsidR="00415C2D" w:rsidRPr="00415C2D" w14:paraId="6346628B" w14:textId="77777777" w:rsidTr="00415C2D">
        <w:tc>
          <w:tcPr>
            <w:tcW w:w="1158" w:type="dxa"/>
            <w:tcBorders>
              <w:top w:val="single" w:sz="6" w:space="0" w:color="909090"/>
              <w:left w:val="single" w:sz="6" w:space="0" w:color="909090"/>
              <w:bottom w:val="single" w:sz="6" w:space="0" w:color="909090"/>
              <w:right w:val="single" w:sz="6" w:space="0" w:color="909090"/>
            </w:tcBorders>
            <w:tcMar>
              <w:top w:w="75" w:type="dxa"/>
              <w:left w:w="75" w:type="dxa"/>
              <w:bottom w:w="75" w:type="dxa"/>
              <w:right w:w="75" w:type="dxa"/>
            </w:tcMar>
            <w:vAlign w:val="center"/>
            <w:hideMark/>
          </w:tcPr>
          <w:p w14:paraId="1951B42E" w14:textId="77777777" w:rsidR="00415C2D" w:rsidRPr="00415C2D" w:rsidRDefault="00415C2D" w:rsidP="00415C2D">
            <w:pPr>
              <w:spacing w:after="0" w:line="312" w:lineRule="auto"/>
              <w:rPr>
                <w:rFonts w:asciiTheme="majorHAnsi" w:hAnsiTheme="majorHAnsi" w:cstheme="majorHAnsi"/>
                <w:sz w:val="26"/>
                <w:szCs w:val="26"/>
              </w:rPr>
            </w:pPr>
            <w:r w:rsidRPr="00415C2D">
              <w:rPr>
                <w:rFonts w:asciiTheme="majorHAnsi" w:hAnsiTheme="majorHAnsi" w:cstheme="majorHAnsi"/>
                <w:sz w:val="26"/>
                <w:szCs w:val="26"/>
              </w:rPr>
              <w:t>Đối tượng áp dụng</w:t>
            </w:r>
          </w:p>
        </w:tc>
        <w:tc>
          <w:tcPr>
            <w:tcW w:w="4079" w:type="dxa"/>
            <w:tcBorders>
              <w:top w:val="single" w:sz="6" w:space="0" w:color="909090"/>
              <w:left w:val="single" w:sz="6" w:space="0" w:color="909090"/>
              <w:bottom w:val="single" w:sz="6" w:space="0" w:color="909090"/>
              <w:right w:val="single" w:sz="6" w:space="0" w:color="909090"/>
            </w:tcBorders>
            <w:tcMar>
              <w:top w:w="75" w:type="dxa"/>
              <w:left w:w="75" w:type="dxa"/>
              <w:bottom w:w="75" w:type="dxa"/>
              <w:right w:w="75" w:type="dxa"/>
            </w:tcMar>
            <w:vAlign w:val="center"/>
            <w:hideMark/>
          </w:tcPr>
          <w:p w14:paraId="6E7A179C" w14:textId="77777777" w:rsidR="00415C2D" w:rsidRPr="00415C2D" w:rsidRDefault="00415C2D" w:rsidP="00415C2D">
            <w:pPr>
              <w:spacing w:after="0" w:line="312" w:lineRule="auto"/>
              <w:rPr>
                <w:rFonts w:asciiTheme="majorHAnsi" w:hAnsiTheme="majorHAnsi" w:cstheme="majorHAnsi"/>
                <w:sz w:val="26"/>
                <w:szCs w:val="26"/>
              </w:rPr>
            </w:pPr>
            <w:r w:rsidRPr="00415C2D">
              <w:rPr>
                <w:rFonts w:asciiTheme="majorHAnsi" w:hAnsiTheme="majorHAnsi" w:cstheme="majorHAnsi"/>
                <w:sz w:val="26"/>
                <w:szCs w:val="26"/>
              </w:rPr>
              <w:t>Cán bộ, công chức, viên chức trong cơ quan Nhà nước, đơn vị sự nghiệp công lập.</w:t>
            </w:r>
          </w:p>
        </w:tc>
        <w:tc>
          <w:tcPr>
            <w:tcW w:w="4111" w:type="dxa"/>
            <w:tcBorders>
              <w:top w:val="single" w:sz="6" w:space="0" w:color="909090"/>
              <w:left w:val="single" w:sz="6" w:space="0" w:color="909090"/>
              <w:bottom w:val="single" w:sz="6" w:space="0" w:color="909090"/>
              <w:right w:val="single" w:sz="6" w:space="0" w:color="909090"/>
            </w:tcBorders>
            <w:tcMar>
              <w:top w:w="75" w:type="dxa"/>
              <w:left w:w="75" w:type="dxa"/>
              <w:bottom w:w="75" w:type="dxa"/>
              <w:right w:w="75" w:type="dxa"/>
            </w:tcMar>
            <w:vAlign w:val="center"/>
            <w:hideMark/>
          </w:tcPr>
          <w:p w14:paraId="5CE89FC6" w14:textId="77777777" w:rsidR="00415C2D" w:rsidRPr="00415C2D" w:rsidRDefault="00415C2D" w:rsidP="00415C2D">
            <w:pPr>
              <w:spacing w:after="0" w:line="312" w:lineRule="auto"/>
              <w:rPr>
                <w:rFonts w:asciiTheme="majorHAnsi" w:hAnsiTheme="majorHAnsi" w:cstheme="majorHAnsi"/>
                <w:sz w:val="26"/>
                <w:szCs w:val="26"/>
              </w:rPr>
            </w:pPr>
            <w:r w:rsidRPr="00415C2D">
              <w:rPr>
                <w:rFonts w:asciiTheme="majorHAnsi" w:hAnsiTheme="majorHAnsi" w:cstheme="majorHAnsi"/>
                <w:sz w:val="26"/>
                <w:szCs w:val="26"/>
              </w:rPr>
              <w:t>Người lao động trong các doanh nghiệp (ngoài khu vực Nhà nước).</w:t>
            </w:r>
          </w:p>
        </w:tc>
      </w:tr>
      <w:tr w:rsidR="00415C2D" w:rsidRPr="00415C2D" w14:paraId="4F3E6177" w14:textId="77777777" w:rsidTr="00415C2D">
        <w:tc>
          <w:tcPr>
            <w:tcW w:w="1158" w:type="dxa"/>
            <w:tcBorders>
              <w:top w:val="single" w:sz="6" w:space="0" w:color="909090"/>
              <w:left w:val="single" w:sz="6" w:space="0" w:color="909090"/>
              <w:bottom w:val="single" w:sz="6" w:space="0" w:color="909090"/>
              <w:right w:val="single" w:sz="6" w:space="0" w:color="909090"/>
            </w:tcBorders>
            <w:tcMar>
              <w:top w:w="75" w:type="dxa"/>
              <w:left w:w="75" w:type="dxa"/>
              <w:bottom w:w="75" w:type="dxa"/>
              <w:right w:w="75" w:type="dxa"/>
            </w:tcMar>
            <w:vAlign w:val="center"/>
            <w:hideMark/>
          </w:tcPr>
          <w:p w14:paraId="1E3F52C1" w14:textId="77777777" w:rsidR="00415C2D" w:rsidRPr="00415C2D" w:rsidRDefault="00415C2D" w:rsidP="00415C2D">
            <w:pPr>
              <w:spacing w:after="0" w:line="312" w:lineRule="auto"/>
              <w:rPr>
                <w:rFonts w:asciiTheme="majorHAnsi" w:hAnsiTheme="majorHAnsi" w:cstheme="majorHAnsi"/>
                <w:sz w:val="26"/>
                <w:szCs w:val="26"/>
              </w:rPr>
            </w:pPr>
            <w:r w:rsidRPr="00415C2D">
              <w:rPr>
                <w:rFonts w:asciiTheme="majorHAnsi" w:hAnsiTheme="majorHAnsi" w:cstheme="majorHAnsi"/>
                <w:sz w:val="26"/>
                <w:szCs w:val="26"/>
              </w:rPr>
              <w:t>Chu kỳ thay đổi</w:t>
            </w:r>
          </w:p>
        </w:tc>
        <w:tc>
          <w:tcPr>
            <w:tcW w:w="4079" w:type="dxa"/>
            <w:tcBorders>
              <w:top w:val="single" w:sz="6" w:space="0" w:color="909090"/>
              <w:left w:val="single" w:sz="6" w:space="0" w:color="909090"/>
              <w:bottom w:val="single" w:sz="6" w:space="0" w:color="909090"/>
              <w:right w:val="single" w:sz="6" w:space="0" w:color="909090"/>
            </w:tcBorders>
            <w:tcMar>
              <w:top w:w="75" w:type="dxa"/>
              <w:left w:w="75" w:type="dxa"/>
              <w:bottom w:w="75" w:type="dxa"/>
              <w:right w:w="75" w:type="dxa"/>
            </w:tcMar>
            <w:vAlign w:val="center"/>
            <w:hideMark/>
          </w:tcPr>
          <w:p w14:paraId="7E566AEF" w14:textId="77777777" w:rsidR="00415C2D" w:rsidRPr="00415C2D" w:rsidRDefault="00415C2D" w:rsidP="00415C2D">
            <w:pPr>
              <w:spacing w:after="0" w:line="312" w:lineRule="auto"/>
              <w:rPr>
                <w:rFonts w:asciiTheme="majorHAnsi" w:hAnsiTheme="majorHAnsi" w:cstheme="majorHAnsi"/>
                <w:sz w:val="26"/>
                <w:szCs w:val="26"/>
              </w:rPr>
            </w:pPr>
            <w:r w:rsidRPr="00415C2D">
              <w:rPr>
                <w:rFonts w:asciiTheme="majorHAnsi" w:hAnsiTheme="majorHAnsi" w:cstheme="majorHAnsi"/>
                <w:sz w:val="26"/>
                <w:szCs w:val="26"/>
              </w:rPr>
              <w:t>Không có chu kỳ thay đổi nhất định. Bởi mức lương này được điều chỉnh trên cơ sở khả năng NSNN, chỉ số giá tiêu dùng và tốc độ tăng trưởng kinh tế của đất nước.</w:t>
            </w:r>
          </w:p>
        </w:tc>
        <w:tc>
          <w:tcPr>
            <w:tcW w:w="4111" w:type="dxa"/>
            <w:tcBorders>
              <w:top w:val="single" w:sz="6" w:space="0" w:color="909090"/>
              <w:left w:val="single" w:sz="6" w:space="0" w:color="909090"/>
              <w:bottom w:val="single" w:sz="6" w:space="0" w:color="909090"/>
              <w:right w:val="single" w:sz="6" w:space="0" w:color="909090"/>
            </w:tcBorders>
            <w:tcMar>
              <w:top w:w="75" w:type="dxa"/>
              <w:left w:w="75" w:type="dxa"/>
              <w:bottom w:w="75" w:type="dxa"/>
              <w:right w:w="75" w:type="dxa"/>
            </w:tcMar>
            <w:vAlign w:val="center"/>
            <w:hideMark/>
          </w:tcPr>
          <w:p w14:paraId="54515533" w14:textId="77777777" w:rsidR="00415C2D" w:rsidRPr="00415C2D" w:rsidRDefault="00415C2D" w:rsidP="00415C2D">
            <w:pPr>
              <w:spacing w:after="0" w:line="312" w:lineRule="auto"/>
              <w:rPr>
                <w:rFonts w:asciiTheme="majorHAnsi" w:hAnsiTheme="majorHAnsi" w:cstheme="majorHAnsi"/>
                <w:sz w:val="26"/>
                <w:szCs w:val="26"/>
              </w:rPr>
            </w:pPr>
            <w:r w:rsidRPr="00415C2D">
              <w:rPr>
                <w:rFonts w:asciiTheme="majorHAnsi" w:hAnsiTheme="majorHAnsi" w:cstheme="majorHAnsi"/>
                <w:sz w:val="26"/>
                <w:szCs w:val="26"/>
              </w:rPr>
              <w:t>Thông thường là 01 năm, mức lương tối thiểu vùng thay đổi 1 lần.</w:t>
            </w:r>
          </w:p>
        </w:tc>
      </w:tr>
    </w:tbl>
    <w:p w14:paraId="272DE733" w14:textId="44995391" w:rsidR="00415C2D" w:rsidRPr="00FB4424" w:rsidRDefault="00415C2D" w:rsidP="00415C2D">
      <w:pPr>
        <w:spacing w:after="0" w:line="312" w:lineRule="auto"/>
        <w:rPr>
          <w:rFonts w:asciiTheme="majorHAnsi" w:hAnsiTheme="majorHAnsi" w:cstheme="majorHAnsi"/>
          <w:b/>
          <w:bCs/>
          <w:sz w:val="26"/>
          <w:szCs w:val="26"/>
        </w:rPr>
      </w:pPr>
      <w:r w:rsidRPr="00FB4424">
        <w:rPr>
          <w:rFonts w:asciiTheme="majorHAnsi" w:hAnsiTheme="majorHAnsi" w:cstheme="majorHAnsi"/>
          <w:b/>
          <w:bCs/>
          <w:sz w:val="26"/>
          <w:szCs w:val="26"/>
          <w:lang w:val="en-US"/>
        </w:rPr>
        <w:t>3</w:t>
      </w:r>
      <w:r w:rsidRPr="00FB4424">
        <w:rPr>
          <w:rFonts w:asciiTheme="majorHAnsi" w:hAnsiTheme="majorHAnsi" w:cstheme="majorHAnsi"/>
          <w:b/>
          <w:bCs/>
          <w:sz w:val="26"/>
          <w:szCs w:val="26"/>
        </w:rPr>
        <w:t>. Căn cứ pháp lý</w:t>
      </w:r>
    </w:p>
    <w:p w14:paraId="270B689E" w14:textId="77777777" w:rsidR="00415C2D" w:rsidRPr="00FB4424" w:rsidRDefault="001023A9" w:rsidP="00FB4424">
      <w:pPr>
        <w:spacing w:after="0" w:line="312" w:lineRule="auto"/>
        <w:rPr>
          <w:sz w:val="26"/>
          <w:szCs w:val="26"/>
        </w:rPr>
      </w:pPr>
      <w:hyperlink r:id="rId16" w:tgtFrame="_blank" w:tooltip="Nghị định số 38/2019/NĐ-CP" w:history="1">
        <w:r w:rsidR="00415C2D" w:rsidRPr="006F7EAE">
          <w:rPr>
            <w:rStyle w:val="Hyperlink"/>
            <w:b/>
            <w:bCs/>
            <w:i/>
            <w:iCs/>
            <w:color w:val="auto"/>
            <w:sz w:val="26"/>
            <w:szCs w:val="26"/>
            <w:u w:val="none"/>
          </w:rPr>
          <w:t>Nghị định số 38/2019/NĐ-CP</w:t>
        </w:r>
      </w:hyperlink>
      <w:r w:rsidR="00415C2D" w:rsidRPr="00FB4424">
        <w:rPr>
          <w:sz w:val="26"/>
          <w:szCs w:val="26"/>
        </w:rPr>
        <w:t> quy định mức lương cơ sở đối với cán bộ, công chức, viên chức và lực lượng vũ trang;</w:t>
      </w:r>
    </w:p>
    <w:p w14:paraId="7BB94E1C" w14:textId="77777777" w:rsidR="00415C2D" w:rsidRPr="00FB4424" w:rsidRDefault="00415C2D" w:rsidP="00FB4424">
      <w:pPr>
        <w:spacing w:after="0" w:line="312" w:lineRule="auto"/>
        <w:rPr>
          <w:sz w:val="26"/>
          <w:szCs w:val="26"/>
        </w:rPr>
      </w:pPr>
      <w:r w:rsidRPr="006F7EAE">
        <w:rPr>
          <w:b/>
          <w:bCs/>
          <w:i/>
          <w:iCs/>
          <w:sz w:val="26"/>
          <w:szCs w:val="26"/>
        </w:rPr>
        <w:t>Nghị quyết số 122/2020/QH14 kỳ họp thứ 9, Quốc hội hóa XIV</w:t>
      </w:r>
      <w:r w:rsidRPr="00FB4424">
        <w:rPr>
          <w:sz w:val="26"/>
          <w:szCs w:val="26"/>
        </w:rPr>
        <w:t>.</w:t>
      </w:r>
    </w:p>
    <w:p w14:paraId="0EF68AC6" w14:textId="77777777" w:rsidR="00415C2D" w:rsidRPr="00FB4424" w:rsidRDefault="00415C2D" w:rsidP="00FB4424">
      <w:pPr>
        <w:spacing w:after="0" w:line="312" w:lineRule="auto"/>
        <w:rPr>
          <w:sz w:val="26"/>
          <w:szCs w:val="26"/>
        </w:rPr>
      </w:pPr>
      <w:r w:rsidRPr="00FB4424">
        <w:rPr>
          <w:sz w:val="26"/>
          <w:szCs w:val="26"/>
        </w:rPr>
        <w:t>...</w:t>
      </w:r>
    </w:p>
    <w:p w14:paraId="2336987C" w14:textId="77777777" w:rsidR="00415C2D" w:rsidRPr="00FB4424" w:rsidRDefault="00415C2D" w:rsidP="00FB4424">
      <w:pPr>
        <w:spacing w:after="0" w:line="312" w:lineRule="auto"/>
        <w:rPr>
          <w:sz w:val="26"/>
          <w:szCs w:val="26"/>
        </w:rPr>
      </w:pPr>
      <w:r w:rsidRPr="00FB4424">
        <w:rPr>
          <w:sz w:val="26"/>
          <w:szCs w:val="26"/>
        </w:rPr>
        <w:t>Như vậy căn cứ theo </w:t>
      </w:r>
      <w:hyperlink r:id="rId17" w:tgtFrame="_blank" w:tooltip="Nghị định số 38/2019/NĐ-CP" w:history="1">
        <w:r w:rsidRPr="00FB4424">
          <w:rPr>
            <w:rStyle w:val="Hyperlink"/>
            <w:color w:val="auto"/>
            <w:sz w:val="26"/>
            <w:szCs w:val="26"/>
            <w:u w:val="none"/>
          </w:rPr>
          <w:t>Nghị định số 38/2019/NĐ-CP</w:t>
        </w:r>
      </w:hyperlink>
      <w:r w:rsidRPr="00FB4424">
        <w:rPr>
          <w:sz w:val="26"/>
          <w:szCs w:val="26"/>
        </w:rPr>
        <w:t> thì </w:t>
      </w:r>
      <w:hyperlink r:id="rId18" w:tgtFrame="_blank" w:tooltip="mức lương tối thiểu chung" w:history="1">
        <w:r w:rsidRPr="00FB4424">
          <w:rPr>
            <w:rStyle w:val="Hyperlink"/>
            <w:color w:val="auto"/>
            <w:sz w:val="26"/>
            <w:szCs w:val="26"/>
            <w:u w:val="none"/>
          </w:rPr>
          <w:t>mức lương tối thiểu chung</w:t>
        </w:r>
      </w:hyperlink>
      <w:r w:rsidRPr="00FB4424">
        <w:rPr>
          <w:sz w:val="26"/>
          <w:szCs w:val="26"/>
        </w:rPr>
        <w:t> hiện nay là 1.490.000 đồng/tháng.</w:t>
      </w:r>
    </w:p>
    <w:p w14:paraId="00849CA0" w14:textId="399EC430" w:rsidR="00415C2D" w:rsidRPr="00FB4424" w:rsidRDefault="00FB4424" w:rsidP="00FB4424">
      <w:pPr>
        <w:spacing w:after="0" w:line="312" w:lineRule="auto"/>
        <w:rPr>
          <w:b/>
          <w:bCs/>
          <w:sz w:val="26"/>
          <w:szCs w:val="26"/>
        </w:rPr>
      </w:pPr>
      <w:r w:rsidRPr="00FB4424">
        <w:rPr>
          <w:b/>
          <w:bCs/>
          <w:sz w:val="26"/>
          <w:szCs w:val="26"/>
          <w:lang w:val="en-US"/>
        </w:rPr>
        <w:t>4</w:t>
      </w:r>
      <w:r w:rsidR="00415C2D" w:rsidRPr="00FB4424">
        <w:rPr>
          <w:b/>
          <w:bCs/>
          <w:sz w:val="26"/>
          <w:szCs w:val="26"/>
        </w:rPr>
        <w:t>. Các đối tượng được áp dụng</w:t>
      </w:r>
    </w:p>
    <w:p w14:paraId="7A7955DA" w14:textId="77777777" w:rsidR="00415C2D" w:rsidRPr="00FB4424" w:rsidRDefault="00415C2D" w:rsidP="00FB4424">
      <w:pPr>
        <w:spacing w:after="0" w:line="312" w:lineRule="auto"/>
        <w:rPr>
          <w:sz w:val="26"/>
          <w:szCs w:val="26"/>
        </w:rPr>
      </w:pPr>
      <w:r w:rsidRPr="00FB4424">
        <w:rPr>
          <w:sz w:val="26"/>
          <w:szCs w:val="26"/>
        </w:rPr>
        <w:t>Căn cứ theo </w:t>
      </w:r>
      <w:hyperlink r:id="rId19" w:anchor="mcetoc_1erds2btha" w:tgtFrame="_blank" w:tooltip="điều 2 Nghị định 38/2019/NĐ-CP" w:history="1">
        <w:r w:rsidRPr="006F7EAE">
          <w:rPr>
            <w:rStyle w:val="Hyperlink"/>
            <w:b/>
            <w:bCs/>
            <w:i/>
            <w:iCs/>
            <w:color w:val="auto"/>
            <w:sz w:val="26"/>
            <w:szCs w:val="26"/>
            <w:u w:val="none"/>
          </w:rPr>
          <w:t>điều 2 Nghị định 38/2019/NĐ-CP</w:t>
        </w:r>
      </w:hyperlink>
      <w:r w:rsidRPr="00FB4424">
        <w:rPr>
          <w:sz w:val="26"/>
          <w:szCs w:val="26"/>
        </w:rPr>
        <w:t> thì các đối tượng được áp dụng mức </w:t>
      </w:r>
      <w:hyperlink r:id="rId20" w:tgtFrame="_blank" w:tooltip="lương này" w:history="1">
        <w:r w:rsidRPr="00FB4424">
          <w:rPr>
            <w:rStyle w:val="Hyperlink"/>
            <w:color w:val="auto"/>
            <w:sz w:val="26"/>
            <w:szCs w:val="26"/>
            <w:u w:val="none"/>
          </w:rPr>
          <w:t>lương này</w:t>
        </w:r>
      </w:hyperlink>
      <w:r w:rsidRPr="00FB4424">
        <w:rPr>
          <w:sz w:val="26"/>
          <w:szCs w:val="26"/>
        </w:rPr>
        <w:t> bao gồm:</w:t>
      </w:r>
    </w:p>
    <w:p w14:paraId="1BDF8116" w14:textId="77777777" w:rsidR="00415C2D" w:rsidRPr="00FB4424" w:rsidRDefault="00415C2D" w:rsidP="00FB4424">
      <w:pPr>
        <w:pStyle w:val="ListParagraph"/>
        <w:numPr>
          <w:ilvl w:val="0"/>
          <w:numId w:val="6"/>
        </w:numPr>
        <w:spacing w:after="0" w:line="312" w:lineRule="auto"/>
        <w:rPr>
          <w:rFonts w:asciiTheme="majorHAnsi" w:hAnsiTheme="majorHAnsi" w:cstheme="majorHAnsi"/>
          <w:sz w:val="26"/>
          <w:szCs w:val="26"/>
        </w:rPr>
      </w:pPr>
      <w:r w:rsidRPr="00FB4424">
        <w:rPr>
          <w:rFonts w:asciiTheme="majorHAnsi" w:hAnsiTheme="majorHAnsi" w:cstheme="majorHAnsi"/>
          <w:sz w:val="26"/>
          <w:szCs w:val="26"/>
        </w:rPr>
        <w:t>Cán bộ, công chức từ trung ương đến cấp huyện quy định tại khoản 1 và khoản 2 Điều 4 Luật cán bộ, công chức năm 2008.</w:t>
      </w:r>
    </w:p>
    <w:p w14:paraId="6867F5CB" w14:textId="77777777" w:rsidR="00415C2D" w:rsidRPr="00FB4424" w:rsidRDefault="00415C2D" w:rsidP="00FB4424">
      <w:pPr>
        <w:pStyle w:val="ListParagraph"/>
        <w:numPr>
          <w:ilvl w:val="0"/>
          <w:numId w:val="6"/>
        </w:numPr>
        <w:spacing w:after="0" w:line="312" w:lineRule="auto"/>
        <w:rPr>
          <w:rFonts w:asciiTheme="majorHAnsi" w:hAnsiTheme="majorHAnsi" w:cstheme="majorHAnsi"/>
          <w:sz w:val="26"/>
          <w:szCs w:val="26"/>
        </w:rPr>
      </w:pPr>
      <w:r w:rsidRPr="00FB4424">
        <w:rPr>
          <w:rFonts w:asciiTheme="majorHAnsi" w:hAnsiTheme="majorHAnsi" w:cstheme="majorHAnsi"/>
          <w:sz w:val="26"/>
          <w:szCs w:val="26"/>
        </w:rPr>
        <w:t>Cán bộ, công chức cấp xã quy định tại khoản 3 Điều 4 Luật cán bộ, công chức năm 2008.</w:t>
      </w:r>
    </w:p>
    <w:p w14:paraId="774D4D8D" w14:textId="77777777" w:rsidR="00415C2D" w:rsidRPr="00FB4424" w:rsidRDefault="00415C2D" w:rsidP="00FB4424">
      <w:pPr>
        <w:pStyle w:val="ListParagraph"/>
        <w:numPr>
          <w:ilvl w:val="0"/>
          <w:numId w:val="6"/>
        </w:numPr>
        <w:spacing w:after="0" w:line="312" w:lineRule="auto"/>
        <w:rPr>
          <w:rFonts w:asciiTheme="majorHAnsi" w:hAnsiTheme="majorHAnsi" w:cstheme="majorHAnsi"/>
          <w:sz w:val="26"/>
          <w:szCs w:val="26"/>
        </w:rPr>
      </w:pPr>
      <w:r w:rsidRPr="00FB4424">
        <w:rPr>
          <w:rFonts w:asciiTheme="majorHAnsi" w:hAnsiTheme="majorHAnsi" w:cstheme="majorHAnsi"/>
          <w:sz w:val="26"/>
          <w:szCs w:val="26"/>
        </w:rPr>
        <w:t>Viên chức trong các đơn vị sự nghiệp công lập theo quy định tại Luật viên chức năm 2010.</w:t>
      </w:r>
    </w:p>
    <w:p w14:paraId="6BA50E22" w14:textId="77777777" w:rsidR="00415C2D" w:rsidRPr="00FB4424" w:rsidRDefault="00415C2D" w:rsidP="00FB4424">
      <w:pPr>
        <w:pStyle w:val="ListParagraph"/>
        <w:numPr>
          <w:ilvl w:val="0"/>
          <w:numId w:val="6"/>
        </w:numPr>
        <w:spacing w:after="0" w:line="312" w:lineRule="auto"/>
        <w:rPr>
          <w:rFonts w:asciiTheme="majorHAnsi" w:hAnsiTheme="majorHAnsi" w:cstheme="majorHAnsi"/>
          <w:sz w:val="26"/>
          <w:szCs w:val="26"/>
        </w:rPr>
      </w:pPr>
      <w:r w:rsidRPr="00FB4424">
        <w:rPr>
          <w:rFonts w:asciiTheme="majorHAnsi" w:hAnsiTheme="majorHAnsi" w:cstheme="majorHAnsi"/>
          <w:sz w:val="26"/>
          <w:szCs w:val="26"/>
        </w:rPr>
        <w:t>Người làm việc theo chế độ hợp đồng lao động xếp lương theo Nghị định số 204/2004/NĐ-CP ngày 14 tháng 12 năm 2004 của Chính phủ về chế độ tiền lương đối với cán bộ, công chức, viên chức và lực lượng vũ trang, gồm: Người làm việc theo chế độ hợp đồng lao động trong các cơ quan, đơn vị của Đảng, Nhà nước, tổ chức chính trị - xã hội quy định tại Nghị định số 68/2000/NĐ-CP ngày 17 tháng 11 năm 2000 của Chính phủ về thực hiện chế độ hợp đồng một số loại công việc trong cơ quan hành chính nhà nước, đơn vị sự nghiệp và Nghị định số 161/2018/NĐ-CP ngày 29 tháng 11 năm 2018 của Chính phủ sửa đổi, bổ sung một số quy định về tuyển dụng công chức, viên chức, nâng ngạch công chức, thăng hạng viên chức và thực hiện chế độ hợp đồng một số loại công việc trong cơ quan hành chính nhà nước, đơn vị sự nghiệp công lập.</w:t>
      </w:r>
    </w:p>
    <w:p w14:paraId="361C2E8E" w14:textId="77777777" w:rsidR="00415C2D" w:rsidRPr="00FB4424" w:rsidRDefault="00415C2D" w:rsidP="00FB4424">
      <w:pPr>
        <w:pStyle w:val="ListParagraph"/>
        <w:numPr>
          <w:ilvl w:val="0"/>
          <w:numId w:val="6"/>
        </w:numPr>
        <w:spacing w:after="0" w:line="312" w:lineRule="auto"/>
        <w:rPr>
          <w:rFonts w:asciiTheme="majorHAnsi" w:hAnsiTheme="majorHAnsi" w:cstheme="majorHAnsi"/>
          <w:sz w:val="26"/>
          <w:szCs w:val="26"/>
        </w:rPr>
      </w:pPr>
      <w:r w:rsidRPr="00FB4424">
        <w:rPr>
          <w:rFonts w:asciiTheme="majorHAnsi" w:hAnsiTheme="majorHAnsi" w:cstheme="majorHAnsi"/>
          <w:sz w:val="26"/>
          <w:szCs w:val="26"/>
        </w:rPr>
        <w:t>Người làm việc trong chỉ tiêu biên chế trong các hội được ngân sách nhà nước hỗ trợ kinh phí hoạt động quy định tại Nghị định số 45/2010/NĐ-CP ngày 21 tháng 4 năm 2010 của Chính phủ quy định về tổ chức, hoạt động và quản lý hội.</w:t>
      </w:r>
    </w:p>
    <w:p w14:paraId="7232CF54" w14:textId="77777777" w:rsidR="00415C2D" w:rsidRPr="00FB4424" w:rsidRDefault="00415C2D" w:rsidP="00FB4424">
      <w:pPr>
        <w:pStyle w:val="ListParagraph"/>
        <w:numPr>
          <w:ilvl w:val="0"/>
          <w:numId w:val="6"/>
        </w:numPr>
        <w:spacing w:after="0" w:line="312" w:lineRule="auto"/>
        <w:rPr>
          <w:rFonts w:asciiTheme="majorHAnsi" w:hAnsiTheme="majorHAnsi" w:cstheme="majorHAnsi"/>
          <w:sz w:val="26"/>
          <w:szCs w:val="26"/>
        </w:rPr>
      </w:pPr>
      <w:r w:rsidRPr="00FB4424">
        <w:rPr>
          <w:rFonts w:asciiTheme="majorHAnsi" w:hAnsiTheme="majorHAnsi" w:cstheme="majorHAnsi"/>
          <w:sz w:val="26"/>
          <w:szCs w:val="26"/>
        </w:rPr>
        <w:t>Sĩ quan, quân nhân chuyên nghiệp, hạ sĩ quan, binh sĩ và công nhân, viên chức quốc phòng, lao động hợp đồng thuộc Quân đội nhân dân Việt Nam.</w:t>
      </w:r>
    </w:p>
    <w:p w14:paraId="2248D03D" w14:textId="77777777" w:rsidR="00415C2D" w:rsidRPr="00FB4424" w:rsidRDefault="00415C2D" w:rsidP="00FB4424">
      <w:pPr>
        <w:pStyle w:val="ListParagraph"/>
        <w:numPr>
          <w:ilvl w:val="0"/>
          <w:numId w:val="6"/>
        </w:numPr>
        <w:spacing w:after="0" w:line="312" w:lineRule="auto"/>
        <w:rPr>
          <w:rFonts w:asciiTheme="majorHAnsi" w:hAnsiTheme="majorHAnsi" w:cstheme="majorHAnsi"/>
          <w:sz w:val="26"/>
          <w:szCs w:val="26"/>
        </w:rPr>
      </w:pPr>
      <w:r w:rsidRPr="00FB4424">
        <w:rPr>
          <w:rFonts w:asciiTheme="majorHAnsi" w:hAnsiTheme="majorHAnsi" w:cstheme="majorHAnsi"/>
          <w:sz w:val="26"/>
          <w:szCs w:val="26"/>
        </w:rPr>
        <w:t>Sĩ quan, hạ sĩ quan hưởng lương, hạ sĩ quan, chiến sĩ nghĩa vụ, công nhân công an và lao động hợp đồng thuộc Công an nhân dân.</w:t>
      </w:r>
    </w:p>
    <w:p w14:paraId="5E697E6A" w14:textId="77777777" w:rsidR="00415C2D" w:rsidRPr="00FB4424" w:rsidRDefault="00415C2D" w:rsidP="00FB4424">
      <w:pPr>
        <w:pStyle w:val="ListParagraph"/>
        <w:numPr>
          <w:ilvl w:val="0"/>
          <w:numId w:val="6"/>
        </w:numPr>
        <w:spacing w:after="0" w:line="312" w:lineRule="auto"/>
        <w:rPr>
          <w:rFonts w:asciiTheme="majorHAnsi" w:hAnsiTheme="majorHAnsi" w:cstheme="majorHAnsi"/>
          <w:sz w:val="26"/>
          <w:szCs w:val="26"/>
        </w:rPr>
      </w:pPr>
      <w:r w:rsidRPr="00FB4424">
        <w:rPr>
          <w:rFonts w:asciiTheme="majorHAnsi" w:hAnsiTheme="majorHAnsi" w:cstheme="majorHAnsi"/>
          <w:sz w:val="26"/>
          <w:szCs w:val="26"/>
        </w:rPr>
        <w:t>Người làm việc trong tổ chức cơ yếu.</w:t>
      </w:r>
    </w:p>
    <w:p w14:paraId="10238293" w14:textId="77777777" w:rsidR="00415C2D" w:rsidRPr="00FB4424" w:rsidRDefault="00415C2D" w:rsidP="00FB4424">
      <w:pPr>
        <w:pStyle w:val="ListParagraph"/>
        <w:numPr>
          <w:ilvl w:val="0"/>
          <w:numId w:val="6"/>
        </w:numPr>
        <w:spacing w:after="0" w:line="312" w:lineRule="auto"/>
        <w:rPr>
          <w:rFonts w:asciiTheme="majorHAnsi" w:hAnsiTheme="majorHAnsi" w:cstheme="majorHAnsi"/>
          <w:sz w:val="26"/>
          <w:szCs w:val="26"/>
        </w:rPr>
      </w:pPr>
      <w:r w:rsidRPr="00FB4424">
        <w:rPr>
          <w:rFonts w:asciiTheme="majorHAnsi" w:hAnsiTheme="majorHAnsi" w:cstheme="majorHAnsi"/>
          <w:sz w:val="26"/>
          <w:szCs w:val="26"/>
        </w:rPr>
        <w:t>Người hoạt động không chuyên trách ở cấp xã, ở thôn và tổ dân phố.</w:t>
      </w:r>
    </w:p>
    <w:p w14:paraId="3D55019E" w14:textId="77777777" w:rsidR="00415C2D" w:rsidRPr="00415C2D" w:rsidRDefault="00415C2D" w:rsidP="00415C2D">
      <w:pPr>
        <w:spacing w:after="0" w:line="312" w:lineRule="auto"/>
        <w:rPr>
          <w:rFonts w:asciiTheme="majorHAnsi" w:hAnsiTheme="majorHAnsi" w:cstheme="majorHAnsi"/>
          <w:sz w:val="26"/>
          <w:szCs w:val="26"/>
        </w:rPr>
      </w:pPr>
      <w:r w:rsidRPr="00415C2D">
        <w:rPr>
          <w:rFonts w:asciiTheme="majorHAnsi" w:hAnsiTheme="majorHAnsi" w:cstheme="majorHAnsi"/>
          <w:sz w:val="26"/>
          <w:szCs w:val="26"/>
        </w:rPr>
        <w:t>Như vậy nhìn vào đối tượng được áp dụng có thể thấy nhóm đối tượng này là cán bộ, công chức, viên chức, người hưởng lương, phụ cấp và người lao động làm việc trong các cơ quan, tổ chức, đơn vị sự nghiệp của Đảng, Nhà nước, tổ chức chính trị - xã hội và lực lượng vũ trang.</w:t>
      </w:r>
    </w:p>
    <w:p w14:paraId="012BD76E" w14:textId="3B1E4175" w:rsidR="00415C2D" w:rsidRPr="004C3FE2" w:rsidRDefault="004C3FE2" w:rsidP="00415C2D">
      <w:pPr>
        <w:spacing w:after="0" w:line="312" w:lineRule="auto"/>
        <w:rPr>
          <w:rFonts w:asciiTheme="majorHAnsi" w:hAnsiTheme="majorHAnsi" w:cstheme="majorHAnsi"/>
          <w:b/>
          <w:bCs/>
          <w:sz w:val="26"/>
          <w:szCs w:val="26"/>
        </w:rPr>
      </w:pPr>
      <w:r w:rsidRPr="004C3FE2">
        <w:rPr>
          <w:rFonts w:asciiTheme="majorHAnsi" w:hAnsiTheme="majorHAnsi" w:cstheme="majorHAnsi"/>
          <w:b/>
          <w:bCs/>
          <w:sz w:val="26"/>
          <w:szCs w:val="26"/>
          <w:lang w:val="en-US"/>
        </w:rPr>
        <w:t>5</w:t>
      </w:r>
      <w:r w:rsidR="00415C2D" w:rsidRPr="004C3FE2">
        <w:rPr>
          <w:rFonts w:asciiTheme="majorHAnsi" w:hAnsiTheme="majorHAnsi" w:cstheme="majorHAnsi"/>
          <w:b/>
          <w:bCs/>
          <w:sz w:val="26"/>
          <w:szCs w:val="26"/>
        </w:rPr>
        <w:t>. Mức lương cơ sở năm 2021, năm 2020</w:t>
      </w:r>
    </w:p>
    <w:p w14:paraId="09F43FF3" w14:textId="77777777" w:rsidR="00415C2D" w:rsidRPr="00415C2D" w:rsidRDefault="00415C2D" w:rsidP="00415C2D">
      <w:pPr>
        <w:spacing w:after="0" w:line="312" w:lineRule="auto"/>
        <w:rPr>
          <w:rFonts w:asciiTheme="majorHAnsi" w:hAnsiTheme="majorHAnsi" w:cstheme="majorHAnsi"/>
          <w:sz w:val="26"/>
          <w:szCs w:val="26"/>
        </w:rPr>
      </w:pPr>
      <w:r w:rsidRPr="00415C2D">
        <w:rPr>
          <w:rFonts w:asciiTheme="majorHAnsi" w:hAnsiTheme="majorHAnsi" w:cstheme="majorHAnsi"/>
          <w:sz w:val="26"/>
          <w:szCs w:val="26"/>
        </w:rPr>
        <w:t>Căn cứ theo khoản 2 điều 3 Nghị định số 38/2019/NĐ-CP thì từ ngày 01/7/2019 mức lương là 1.490.000 đồng/tháng.</w:t>
      </w:r>
    </w:p>
    <w:p w14:paraId="7A460E77" w14:textId="77777777" w:rsidR="00415C2D" w:rsidRPr="00415C2D" w:rsidRDefault="00415C2D" w:rsidP="00415C2D">
      <w:pPr>
        <w:spacing w:after="0" w:line="312" w:lineRule="auto"/>
        <w:rPr>
          <w:rFonts w:asciiTheme="majorHAnsi" w:hAnsiTheme="majorHAnsi" w:cstheme="majorHAnsi"/>
          <w:sz w:val="26"/>
          <w:szCs w:val="26"/>
        </w:rPr>
      </w:pPr>
      <w:r w:rsidRPr="00415C2D">
        <w:rPr>
          <w:rFonts w:asciiTheme="majorHAnsi" w:hAnsiTheme="majorHAnsi" w:cstheme="majorHAnsi"/>
          <w:sz w:val="26"/>
          <w:szCs w:val="26"/>
        </w:rPr>
        <w:t xml:space="preserve">Như vậy mức lương cơ sở </w:t>
      </w:r>
      <w:r w:rsidRPr="004C3FE2">
        <w:rPr>
          <w:rFonts w:asciiTheme="majorHAnsi" w:hAnsiTheme="majorHAnsi" w:cstheme="majorHAnsi"/>
          <w:b/>
          <w:bCs/>
          <w:sz w:val="26"/>
          <w:szCs w:val="26"/>
        </w:rPr>
        <w:t>năm</w:t>
      </w:r>
      <w:r w:rsidRPr="00415C2D">
        <w:rPr>
          <w:rFonts w:asciiTheme="majorHAnsi" w:hAnsiTheme="majorHAnsi" w:cstheme="majorHAnsi"/>
          <w:sz w:val="26"/>
          <w:szCs w:val="26"/>
        </w:rPr>
        <w:t xml:space="preserve"> </w:t>
      </w:r>
      <w:r w:rsidRPr="004C3FE2">
        <w:rPr>
          <w:rFonts w:asciiTheme="majorHAnsi" w:hAnsiTheme="majorHAnsi" w:cstheme="majorHAnsi"/>
          <w:b/>
          <w:bCs/>
          <w:sz w:val="26"/>
          <w:szCs w:val="26"/>
        </w:rPr>
        <w:t>2020 là 1.490.000 đồng/tháng</w:t>
      </w:r>
      <w:r w:rsidRPr="00415C2D">
        <w:rPr>
          <w:rFonts w:asciiTheme="majorHAnsi" w:hAnsiTheme="majorHAnsi" w:cstheme="majorHAnsi"/>
          <w:sz w:val="26"/>
          <w:szCs w:val="26"/>
        </w:rPr>
        <w:t>.</w:t>
      </w:r>
    </w:p>
    <w:p w14:paraId="6CA5D19E" w14:textId="77777777" w:rsidR="00415C2D" w:rsidRPr="00415C2D" w:rsidRDefault="00415C2D" w:rsidP="00415C2D">
      <w:pPr>
        <w:spacing w:after="0" w:line="312" w:lineRule="auto"/>
        <w:rPr>
          <w:rFonts w:asciiTheme="majorHAnsi" w:hAnsiTheme="majorHAnsi" w:cstheme="majorHAnsi"/>
          <w:sz w:val="26"/>
          <w:szCs w:val="26"/>
        </w:rPr>
      </w:pPr>
      <w:r w:rsidRPr="00415C2D">
        <w:rPr>
          <w:rFonts w:asciiTheme="majorHAnsi" w:hAnsiTheme="majorHAnsi" w:cstheme="majorHAnsi"/>
          <w:sz w:val="26"/>
          <w:szCs w:val="26"/>
        </w:rPr>
        <w:t>Ngày 12/11/</w:t>
      </w:r>
      <w:r w:rsidRPr="004C3FE2">
        <w:rPr>
          <w:sz w:val="26"/>
          <w:szCs w:val="26"/>
        </w:rPr>
        <w:t>2019 </w:t>
      </w:r>
      <w:hyperlink r:id="rId21" w:tgtFrame="_blank" w:tooltip="nghị quyết số 86/2019/QH14" w:history="1">
        <w:r w:rsidRPr="004C3FE2">
          <w:rPr>
            <w:rStyle w:val="Hyperlink"/>
            <w:b/>
            <w:bCs/>
            <w:i/>
            <w:iCs/>
            <w:color w:val="auto"/>
            <w:sz w:val="26"/>
            <w:szCs w:val="26"/>
            <w:u w:val="none"/>
          </w:rPr>
          <w:t>nghị quyết số 86/2019/QH14</w:t>
        </w:r>
      </w:hyperlink>
      <w:r w:rsidRPr="00415C2D">
        <w:rPr>
          <w:rFonts w:asciiTheme="majorHAnsi" w:hAnsiTheme="majorHAnsi" w:cstheme="majorHAnsi"/>
          <w:sz w:val="26"/>
          <w:szCs w:val="26"/>
        </w:rPr>
        <w:t xml:space="preserve"> trình quốc hội về dự toán chi ngân sách nhà nước năm 2020. Theo đó từ ngày 01/07/2020 thì thực hiện điều chỉnh mức lương này từ 1,49 triệu đồng/tháng lên 1,6 triệu đồng/tháng. Tuy nhiên tại </w:t>
      </w:r>
      <w:r w:rsidRPr="006F7EAE">
        <w:rPr>
          <w:rFonts w:asciiTheme="majorHAnsi" w:hAnsiTheme="majorHAnsi" w:cstheme="majorHAnsi"/>
          <w:b/>
          <w:bCs/>
          <w:i/>
          <w:iCs/>
          <w:sz w:val="26"/>
          <w:szCs w:val="26"/>
        </w:rPr>
        <w:t>nghị quyết số 122/2020/QH14 kỳ họp thứ 9, Quốc hội hóa XIV</w:t>
      </w:r>
      <w:r w:rsidRPr="00415C2D">
        <w:rPr>
          <w:rFonts w:asciiTheme="majorHAnsi" w:hAnsiTheme="majorHAnsi" w:cstheme="majorHAnsi"/>
          <w:sz w:val="26"/>
          <w:szCs w:val="26"/>
        </w:rPr>
        <w:t xml:space="preserve"> do ảnh hưởng của dịch Covid - 19 nên Quốc hội đã chính thức đồng ý chưa điều chỉnh tăng lương này cho công chức từ 01/7/2020.</w:t>
      </w:r>
    </w:p>
    <w:p w14:paraId="30678FAA" w14:textId="77777777" w:rsidR="00415C2D" w:rsidRPr="004C3FE2" w:rsidRDefault="00415C2D" w:rsidP="00415C2D">
      <w:pPr>
        <w:spacing w:after="0" w:line="312" w:lineRule="auto"/>
        <w:rPr>
          <w:rFonts w:asciiTheme="majorHAnsi" w:hAnsiTheme="majorHAnsi" w:cstheme="majorHAnsi"/>
          <w:b/>
          <w:bCs/>
          <w:sz w:val="26"/>
          <w:szCs w:val="26"/>
        </w:rPr>
      </w:pPr>
      <w:r w:rsidRPr="00415C2D">
        <w:rPr>
          <w:rFonts w:asciiTheme="majorHAnsi" w:hAnsiTheme="majorHAnsi" w:cstheme="majorHAnsi"/>
          <w:sz w:val="26"/>
          <w:szCs w:val="26"/>
        </w:rPr>
        <w:t xml:space="preserve">Vậy từ ngày 01/7/2020 lương và phụ cấp của người làm việc trong cơ quan nhà nước </w:t>
      </w:r>
      <w:r w:rsidRPr="004C3FE2">
        <w:rPr>
          <w:rFonts w:asciiTheme="majorHAnsi" w:hAnsiTheme="majorHAnsi" w:cstheme="majorHAnsi"/>
          <w:b/>
          <w:bCs/>
          <w:sz w:val="26"/>
          <w:szCs w:val="26"/>
        </w:rPr>
        <w:t>không thay đổi</w:t>
      </w:r>
      <w:r w:rsidRPr="00415C2D">
        <w:rPr>
          <w:rFonts w:asciiTheme="majorHAnsi" w:hAnsiTheme="majorHAnsi" w:cstheme="majorHAnsi"/>
          <w:sz w:val="26"/>
          <w:szCs w:val="26"/>
        </w:rPr>
        <w:t xml:space="preserve">. Đồng nghĩa đó là việc mức lương cơ sở </w:t>
      </w:r>
      <w:r w:rsidRPr="004C3FE2">
        <w:rPr>
          <w:rFonts w:asciiTheme="majorHAnsi" w:hAnsiTheme="majorHAnsi" w:cstheme="majorHAnsi"/>
          <w:b/>
          <w:bCs/>
          <w:sz w:val="26"/>
          <w:szCs w:val="26"/>
        </w:rPr>
        <w:t>năm 2021 là</w:t>
      </w:r>
      <w:r w:rsidRPr="00415C2D">
        <w:rPr>
          <w:rFonts w:asciiTheme="majorHAnsi" w:hAnsiTheme="majorHAnsi" w:cstheme="majorHAnsi"/>
          <w:sz w:val="26"/>
          <w:szCs w:val="26"/>
        </w:rPr>
        <w:t xml:space="preserve"> </w:t>
      </w:r>
      <w:r w:rsidRPr="004C3FE2">
        <w:rPr>
          <w:rFonts w:asciiTheme="majorHAnsi" w:hAnsiTheme="majorHAnsi" w:cstheme="majorHAnsi"/>
          <w:b/>
          <w:bCs/>
          <w:sz w:val="26"/>
          <w:szCs w:val="26"/>
        </w:rPr>
        <w:t>1.490.000 đồng/tháng.</w:t>
      </w:r>
    </w:p>
    <w:p w14:paraId="4B111D9F" w14:textId="18C52E7C" w:rsidR="00415C2D" w:rsidRPr="00415C2D" w:rsidRDefault="006F7EAE" w:rsidP="00415C2D">
      <w:pPr>
        <w:spacing w:after="0" w:line="312" w:lineRule="auto"/>
        <w:rPr>
          <w:rFonts w:asciiTheme="majorHAnsi" w:hAnsiTheme="majorHAnsi" w:cstheme="majorHAnsi"/>
          <w:sz w:val="26"/>
          <w:szCs w:val="26"/>
        </w:rPr>
      </w:pPr>
      <w:r w:rsidRPr="006F7EAE">
        <w:rPr>
          <w:rFonts w:asciiTheme="majorHAnsi" w:hAnsiTheme="majorHAnsi" w:cstheme="majorHAnsi"/>
          <w:b/>
          <w:bCs/>
          <w:sz w:val="26"/>
          <w:szCs w:val="26"/>
          <w:lang w:val="en-US"/>
        </w:rPr>
        <w:t>6</w:t>
      </w:r>
      <w:r w:rsidR="00415C2D" w:rsidRPr="006F7EAE">
        <w:rPr>
          <w:rFonts w:asciiTheme="majorHAnsi" w:hAnsiTheme="majorHAnsi" w:cstheme="majorHAnsi"/>
          <w:b/>
          <w:bCs/>
          <w:sz w:val="26"/>
          <w:szCs w:val="26"/>
        </w:rPr>
        <w:t>. Mức lương tối thiểu chung qua các năm</w:t>
      </w:r>
    </w:p>
    <w:p w14:paraId="6AAA3CE4" w14:textId="20BC4AF0" w:rsidR="00415C2D" w:rsidRPr="00415C2D" w:rsidRDefault="00415C2D" w:rsidP="00415C2D">
      <w:pPr>
        <w:spacing w:after="0" w:line="312" w:lineRule="auto"/>
        <w:rPr>
          <w:rFonts w:asciiTheme="majorHAnsi" w:hAnsiTheme="majorHAnsi" w:cstheme="majorHAnsi"/>
          <w:sz w:val="26"/>
          <w:szCs w:val="26"/>
        </w:rPr>
      </w:pPr>
      <w:r w:rsidRPr="00415C2D">
        <w:rPr>
          <w:rFonts w:asciiTheme="majorHAnsi" w:hAnsiTheme="majorHAnsi" w:cstheme="majorHAnsi"/>
          <w:sz w:val="26"/>
          <w:szCs w:val="26"/>
        </w:rPr>
        <w:t xml:space="preserve">Trong nội dung bài viết </w:t>
      </w:r>
      <w:r w:rsidR="006F7EAE">
        <w:rPr>
          <w:rFonts w:asciiTheme="majorHAnsi" w:hAnsiTheme="majorHAnsi" w:cstheme="majorHAnsi"/>
          <w:sz w:val="26"/>
          <w:szCs w:val="26"/>
          <w:lang w:val="en-US"/>
        </w:rPr>
        <w:t xml:space="preserve">này </w:t>
      </w:r>
      <w:r w:rsidRPr="00415C2D">
        <w:rPr>
          <w:rFonts w:asciiTheme="majorHAnsi" w:hAnsiTheme="majorHAnsi" w:cstheme="majorHAnsi"/>
          <w:sz w:val="26"/>
          <w:szCs w:val="26"/>
        </w:rPr>
        <w:t>sẽ thống kê mức lương làm cơ sở từ năm 2010 tới hiện nay: Chi tiết như sau:</w:t>
      </w:r>
    </w:p>
    <w:tbl>
      <w:tblPr>
        <w:tblW w:w="7789" w:type="dxa"/>
        <w:tblBorders>
          <w:top w:val="single" w:sz="6" w:space="0" w:color="909090"/>
          <w:left w:val="single" w:sz="6" w:space="0" w:color="909090"/>
          <w:bottom w:val="single" w:sz="6" w:space="0" w:color="909090"/>
          <w:right w:val="single" w:sz="6" w:space="0" w:color="909090"/>
        </w:tblBorders>
        <w:tblCellMar>
          <w:left w:w="0" w:type="dxa"/>
          <w:right w:w="0" w:type="dxa"/>
        </w:tblCellMar>
        <w:tblLook w:val="04A0" w:firstRow="1" w:lastRow="0" w:firstColumn="1" w:lastColumn="0" w:noHBand="0" w:noVBand="1"/>
      </w:tblPr>
      <w:tblGrid>
        <w:gridCol w:w="3961"/>
        <w:gridCol w:w="3828"/>
      </w:tblGrid>
      <w:tr w:rsidR="00415C2D" w:rsidRPr="00415C2D" w14:paraId="3420EDA4" w14:textId="77777777" w:rsidTr="006F7EAE">
        <w:tc>
          <w:tcPr>
            <w:tcW w:w="3961" w:type="dxa"/>
            <w:tcBorders>
              <w:top w:val="single" w:sz="6" w:space="0" w:color="909090"/>
              <w:left w:val="single" w:sz="6" w:space="0" w:color="909090"/>
              <w:bottom w:val="single" w:sz="6" w:space="0" w:color="909090"/>
              <w:right w:val="single" w:sz="6" w:space="0" w:color="909090"/>
            </w:tcBorders>
            <w:tcMar>
              <w:top w:w="75" w:type="dxa"/>
              <w:left w:w="75" w:type="dxa"/>
              <w:bottom w:w="75" w:type="dxa"/>
              <w:right w:w="75" w:type="dxa"/>
            </w:tcMar>
            <w:vAlign w:val="center"/>
            <w:hideMark/>
          </w:tcPr>
          <w:p w14:paraId="1FEEF8C2" w14:textId="77777777" w:rsidR="00415C2D" w:rsidRPr="006F7EAE" w:rsidRDefault="00415C2D" w:rsidP="00415C2D">
            <w:pPr>
              <w:spacing w:after="0" w:line="312" w:lineRule="auto"/>
              <w:rPr>
                <w:rFonts w:asciiTheme="majorHAnsi" w:hAnsiTheme="majorHAnsi" w:cstheme="majorHAnsi"/>
                <w:b/>
                <w:bCs/>
                <w:sz w:val="26"/>
                <w:szCs w:val="26"/>
              </w:rPr>
            </w:pPr>
            <w:r w:rsidRPr="006F7EAE">
              <w:rPr>
                <w:rFonts w:asciiTheme="majorHAnsi" w:hAnsiTheme="majorHAnsi" w:cstheme="majorHAnsi"/>
                <w:b/>
                <w:bCs/>
                <w:sz w:val="26"/>
                <w:szCs w:val="26"/>
              </w:rPr>
              <w:t>Thời điểm áp dụng</w:t>
            </w:r>
          </w:p>
        </w:tc>
        <w:tc>
          <w:tcPr>
            <w:tcW w:w="3828" w:type="dxa"/>
            <w:tcBorders>
              <w:top w:val="single" w:sz="6" w:space="0" w:color="909090"/>
              <w:left w:val="single" w:sz="6" w:space="0" w:color="909090"/>
              <w:bottom w:val="single" w:sz="6" w:space="0" w:color="909090"/>
              <w:right w:val="single" w:sz="6" w:space="0" w:color="909090"/>
            </w:tcBorders>
            <w:tcMar>
              <w:top w:w="75" w:type="dxa"/>
              <w:left w:w="75" w:type="dxa"/>
              <w:bottom w:w="75" w:type="dxa"/>
              <w:right w:w="75" w:type="dxa"/>
            </w:tcMar>
            <w:vAlign w:val="center"/>
            <w:hideMark/>
          </w:tcPr>
          <w:p w14:paraId="2DC9DC9B" w14:textId="77777777" w:rsidR="00415C2D" w:rsidRPr="006F7EAE" w:rsidRDefault="00415C2D" w:rsidP="00415C2D">
            <w:pPr>
              <w:spacing w:after="0" w:line="312" w:lineRule="auto"/>
              <w:rPr>
                <w:rFonts w:asciiTheme="majorHAnsi" w:hAnsiTheme="majorHAnsi" w:cstheme="majorHAnsi"/>
                <w:b/>
                <w:bCs/>
                <w:sz w:val="26"/>
                <w:szCs w:val="26"/>
              </w:rPr>
            </w:pPr>
            <w:r w:rsidRPr="006F7EAE">
              <w:rPr>
                <w:rFonts w:asciiTheme="majorHAnsi" w:hAnsiTheme="majorHAnsi" w:cstheme="majorHAnsi"/>
                <w:b/>
                <w:bCs/>
                <w:sz w:val="26"/>
                <w:szCs w:val="26"/>
              </w:rPr>
              <w:t>Mức lương tối thiểu chung</w:t>
            </w:r>
          </w:p>
        </w:tc>
      </w:tr>
      <w:tr w:rsidR="00415C2D" w:rsidRPr="00415C2D" w14:paraId="5BA08A68" w14:textId="77777777" w:rsidTr="006F7EAE">
        <w:tc>
          <w:tcPr>
            <w:tcW w:w="3961" w:type="dxa"/>
            <w:tcBorders>
              <w:top w:val="single" w:sz="6" w:space="0" w:color="909090"/>
              <w:left w:val="single" w:sz="6" w:space="0" w:color="909090"/>
              <w:bottom w:val="single" w:sz="6" w:space="0" w:color="909090"/>
              <w:right w:val="single" w:sz="6" w:space="0" w:color="909090"/>
            </w:tcBorders>
            <w:tcMar>
              <w:top w:w="75" w:type="dxa"/>
              <w:left w:w="75" w:type="dxa"/>
              <w:bottom w:w="75" w:type="dxa"/>
              <w:right w:w="75" w:type="dxa"/>
            </w:tcMar>
            <w:vAlign w:val="center"/>
            <w:hideMark/>
          </w:tcPr>
          <w:p w14:paraId="6E49836B" w14:textId="77777777" w:rsidR="00415C2D" w:rsidRPr="00415C2D" w:rsidRDefault="00415C2D" w:rsidP="00415C2D">
            <w:pPr>
              <w:spacing w:after="0" w:line="312" w:lineRule="auto"/>
              <w:rPr>
                <w:rFonts w:asciiTheme="majorHAnsi" w:hAnsiTheme="majorHAnsi" w:cstheme="majorHAnsi"/>
                <w:sz w:val="26"/>
                <w:szCs w:val="26"/>
              </w:rPr>
            </w:pPr>
            <w:r w:rsidRPr="00415C2D">
              <w:rPr>
                <w:rFonts w:asciiTheme="majorHAnsi" w:hAnsiTheme="majorHAnsi" w:cstheme="majorHAnsi"/>
                <w:sz w:val="26"/>
                <w:szCs w:val="26"/>
              </w:rPr>
              <w:t>Từ 01/05/2010 - 30/04/2011</w:t>
            </w:r>
          </w:p>
        </w:tc>
        <w:tc>
          <w:tcPr>
            <w:tcW w:w="3828" w:type="dxa"/>
            <w:tcBorders>
              <w:top w:val="single" w:sz="6" w:space="0" w:color="909090"/>
              <w:left w:val="single" w:sz="6" w:space="0" w:color="909090"/>
              <w:bottom w:val="single" w:sz="6" w:space="0" w:color="909090"/>
              <w:right w:val="single" w:sz="6" w:space="0" w:color="909090"/>
            </w:tcBorders>
            <w:tcMar>
              <w:top w:w="75" w:type="dxa"/>
              <w:left w:w="75" w:type="dxa"/>
              <w:bottom w:w="75" w:type="dxa"/>
              <w:right w:w="75" w:type="dxa"/>
            </w:tcMar>
            <w:vAlign w:val="center"/>
            <w:hideMark/>
          </w:tcPr>
          <w:p w14:paraId="15438DB8" w14:textId="77777777" w:rsidR="00415C2D" w:rsidRPr="00415C2D" w:rsidRDefault="00415C2D" w:rsidP="00415C2D">
            <w:pPr>
              <w:spacing w:after="0" w:line="312" w:lineRule="auto"/>
              <w:rPr>
                <w:rFonts w:asciiTheme="majorHAnsi" w:hAnsiTheme="majorHAnsi" w:cstheme="majorHAnsi"/>
                <w:sz w:val="26"/>
                <w:szCs w:val="26"/>
              </w:rPr>
            </w:pPr>
            <w:r w:rsidRPr="00415C2D">
              <w:rPr>
                <w:rFonts w:asciiTheme="majorHAnsi" w:hAnsiTheme="majorHAnsi" w:cstheme="majorHAnsi"/>
                <w:sz w:val="26"/>
                <w:szCs w:val="26"/>
              </w:rPr>
              <w:t>730.000 đồng/tháng</w:t>
            </w:r>
          </w:p>
        </w:tc>
      </w:tr>
      <w:tr w:rsidR="00415C2D" w:rsidRPr="00415C2D" w14:paraId="347C2636" w14:textId="77777777" w:rsidTr="006F7EAE">
        <w:tc>
          <w:tcPr>
            <w:tcW w:w="3961" w:type="dxa"/>
            <w:tcBorders>
              <w:top w:val="single" w:sz="6" w:space="0" w:color="909090"/>
              <w:left w:val="single" w:sz="6" w:space="0" w:color="909090"/>
              <w:bottom w:val="single" w:sz="6" w:space="0" w:color="909090"/>
              <w:right w:val="single" w:sz="6" w:space="0" w:color="909090"/>
            </w:tcBorders>
            <w:tcMar>
              <w:top w:w="75" w:type="dxa"/>
              <w:left w:w="75" w:type="dxa"/>
              <w:bottom w:w="75" w:type="dxa"/>
              <w:right w:w="75" w:type="dxa"/>
            </w:tcMar>
            <w:vAlign w:val="center"/>
            <w:hideMark/>
          </w:tcPr>
          <w:p w14:paraId="38EAAB52" w14:textId="77777777" w:rsidR="00415C2D" w:rsidRPr="00415C2D" w:rsidRDefault="00415C2D" w:rsidP="00415C2D">
            <w:pPr>
              <w:spacing w:after="0" w:line="312" w:lineRule="auto"/>
              <w:rPr>
                <w:rFonts w:asciiTheme="majorHAnsi" w:hAnsiTheme="majorHAnsi" w:cstheme="majorHAnsi"/>
                <w:sz w:val="26"/>
                <w:szCs w:val="26"/>
              </w:rPr>
            </w:pPr>
            <w:r w:rsidRPr="00415C2D">
              <w:rPr>
                <w:rFonts w:asciiTheme="majorHAnsi" w:hAnsiTheme="majorHAnsi" w:cstheme="majorHAnsi"/>
                <w:sz w:val="26"/>
                <w:szCs w:val="26"/>
              </w:rPr>
              <w:t>Từ 01/05/2011- 30/04/2012</w:t>
            </w:r>
          </w:p>
        </w:tc>
        <w:tc>
          <w:tcPr>
            <w:tcW w:w="3828" w:type="dxa"/>
            <w:tcBorders>
              <w:top w:val="single" w:sz="6" w:space="0" w:color="909090"/>
              <w:left w:val="single" w:sz="6" w:space="0" w:color="909090"/>
              <w:bottom w:val="single" w:sz="6" w:space="0" w:color="909090"/>
              <w:right w:val="single" w:sz="6" w:space="0" w:color="909090"/>
            </w:tcBorders>
            <w:tcMar>
              <w:top w:w="75" w:type="dxa"/>
              <w:left w:w="75" w:type="dxa"/>
              <w:bottom w:w="75" w:type="dxa"/>
              <w:right w:w="75" w:type="dxa"/>
            </w:tcMar>
            <w:vAlign w:val="center"/>
            <w:hideMark/>
          </w:tcPr>
          <w:p w14:paraId="1DBB4614" w14:textId="77777777" w:rsidR="00415C2D" w:rsidRPr="00415C2D" w:rsidRDefault="00415C2D" w:rsidP="00415C2D">
            <w:pPr>
              <w:spacing w:after="0" w:line="312" w:lineRule="auto"/>
              <w:rPr>
                <w:rFonts w:asciiTheme="majorHAnsi" w:hAnsiTheme="majorHAnsi" w:cstheme="majorHAnsi"/>
                <w:sz w:val="26"/>
                <w:szCs w:val="26"/>
              </w:rPr>
            </w:pPr>
            <w:r w:rsidRPr="00415C2D">
              <w:rPr>
                <w:rFonts w:asciiTheme="majorHAnsi" w:hAnsiTheme="majorHAnsi" w:cstheme="majorHAnsi"/>
                <w:sz w:val="26"/>
                <w:szCs w:val="26"/>
              </w:rPr>
              <w:t>830.000 đồng/tháng</w:t>
            </w:r>
          </w:p>
        </w:tc>
      </w:tr>
      <w:tr w:rsidR="00415C2D" w:rsidRPr="00415C2D" w14:paraId="2B8B2E1D" w14:textId="77777777" w:rsidTr="006F7EAE">
        <w:tc>
          <w:tcPr>
            <w:tcW w:w="3961" w:type="dxa"/>
            <w:tcBorders>
              <w:top w:val="single" w:sz="6" w:space="0" w:color="909090"/>
              <w:left w:val="single" w:sz="6" w:space="0" w:color="909090"/>
              <w:bottom w:val="single" w:sz="6" w:space="0" w:color="909090"/>
              <w:right w:val="single" w:sz="6" w:space="0" w:color="909090"/>
            </w:tcBorders>
            <w:tcMar>
              <w:top w:w="75" w:type="dxa"/>
              <w:left w:w="75" w:type="dxa"/>
              <w:bottom w:w="75" w:type="dxa"/>
              <w:right w:w="75" w:type="dxa"/>
            </w:tcMar>
            <w:vAlign w:val="center"/>
            <w:hideMark/>
          </w:tcPr>
          <w:p w14:paraId="19D2C142" w14:textId="77777777" w:rsidR="00415C2D" w:rsidRPr="00415C2D" w:rsidRDefault="00415C2D" w:rsidP="00415C2D">
            <w:pPr>
              <w:spacing w:after="0" w:line="312" w:lineRule="auto"/>
              <w:rPr>
                <w:rFonts w:asciiTheme="majorHAnsi" w:hAnsiTheme="majorHAnsi" w:cstheme="majorHAnsi"/>
                <w:sz w:val="26"/>
                <w:szCs w:val="26"/>
              </w:rPr>
            </w:pPr>
            <w:r w:rsidRPr="00415C2D">
              <w:rPr>
                <w:rFonts w:asciiTheme="majorHAnsi" w:hAnsiTheme="majorHAnsi" w:cstheme="majorHAnsi"/>
                <w:sz w:val="26"/>
                <w:szCs w:val="26"/>
              </w:rPr>
              <w:t>Từ 01/05/2012 - 30/06/2013</w:t>
            </w:r>
          </w:p>
        </w:tc>
        <w:tc>
          <w:tcPr>
            <w:tcW w:w="3828" w:type="dxa"/>
            <w:tcBorders>
              <w:top w:val="single" w:sz="6" w:space="0" w:color="909090"/>
              <w:left w:val="single" w:sz="6" w:space="0" w:color="909090"/>
              <w:bottom w:val="single" w:sz="6" w:space="0" w:color="909090"/>
              <w:right w:val="single" w:sz="6" w:space="0" w:color="909090"/>
            </w:tcBorders>
            <w:tcMar>
              <w:top w:w="75" w:type="dxa"/>
              <w:left w:w="75" w:type="dxa"/>
              <w:bottom w:w="75" w:type="dxa"/>
              <w:right w:w="75" w:type="dxa"/>
            </w:tcMar>
            <w:vAlign w:val="center"/>
            <w:hideMark/>
          </w:tcPr>
          <w:p w14:paraId="454CBA12" w14:textId="77777777" w:rsidR="00415C2D" w:rsidRPr="00415C2D" w:rsidRDefault="00415C2D" w:rsidP="00415C2D">
            <w:pPr>
              <w:spacing w:after="0" w:line="312" w:lineRule="auto"/>
              <w:rPr>
                <w:rFonts w:asciiTheme="majorHAnsi" w:hAnsiTheme="majorHAnsi" w:cstheme="majorHAnsi"/>
                <w:sz w:val="26"/>
                <w:szCs w:val="26"/>
              </w:rPr>
            </w:pPr>
            <w:r w:rsidRPr="00415C2D">
              <w:rPr>
                <w:rFonts w:asciiTheme="majorHAnsi" w:hAnsiTheme="majorHAnsi" w:cstheme="majorHAnsi"/>
                <w:sz w:val="26"/>
                <w:szCs w:val="26"/>
              </w:rPr>
              <w:t>1.050.000 đồng/tháng</w:t>
            </w:r>
          </w:p>
        </w:tc>
      </w:tr>
      <w:tr w:rsidR="00415C2D" w:rsidRPr="00415C2D" w14:paraId="2A2D6614" w14:textId="77777777" w:rsidTr="006F7EAE">
        <w:tc>
          <w:tcPr>
            <w:tcW w:w="3961" w:type="dxa"/>
            <w:tcBorders>
              <w:top w:val="single" w:sz="6" w:space="0" w:color="909090"/>
              <w:left w:val="single" w:sz="6" w:space="0" w:color="909090"/>
              <w:bottom w:val="single" w:sz="6" w:space="0" w:color="909090"/>
              <w:right w:val="single" w:sz="6" w:space="0" w:color="909090"/>
            </w:tcBorders>
            <w:tcMar>
              <w:top w:w="75" w:type="dxa"/>
              <w:left w:w="75" w:type="dxa"/>
              <w:bottom w:w="75" w:type="dxa"/>
              <w:right w:w="75" w:type="dxa"/>
            </w:tcMar>
            <w:vAlign w:val="center"/>
            <w:hideMark/>
          </w:tcPr>
          <w:p w14:paraId="1574E5C1" w14:textId="77777777" w:rsidR="00415C2D" w:rsidRPr="00415C2D" w:rsidRDefault="00415C2D" w:rsidP="00415C2D">
            <w:pPr>
              <w:spacing w:after="0" w:line="312" w:lineRule="auto"/>
              <w:rPr>
                <w:rFonts w:asciiTheme="majorHAnsi" w:hAnsiTheme="majorHAnsi" w:cstheme="majorHAnsi"/>
                <w:sz w:val="26"/>
                <w:szCs w:val="26"/>
              </w:rPr>
            </w:pPr>
            <w:r w:rsidRPr="00415C2D">
              <w:rPr>
                <w:rFonts w:asciiTheme="majorHAnsi" w:hAnsiTheme="majorHAnsi" w:cstheme="majorHAnsi"/>
                <w:sz w:val="26"/>
                <w:szCs w:val="26"/>
              </w:rPr>
              <w:t>Từ 01/07/2013 - 30/04/2016</w:t>
            </w:r>
          </w:p>
        </w:tc>
        <w:tc>
          <w:tcPr>
            <w:tcW w:w="3828" w:type="dxa"/>
            <w:tcBorders>
              <w:top w:val="single" w:sz="6" w:space="0" w:color="909090"/>
              <w:left w:val="single" w:sz="6" w:space="0" w:color="909090"/>
              <w:bottom w:val="single" w:sz="6" w:space="0" w:color="909090"/>
              <w:right w:val="single" w:sz="6" w:space="0" w:color="909090"/>
            </w:tcBorders>
            <w:tcMar>
              <w:top w:w="75" w:type="dxa"/>
              <w:left w:w="75" w:type="dxa"/>
              <w:bottom w:w="75" w:type="dxa"/>
              <w:right w:w="75" w:type="dxa"/>
            </w:tcMar>
            <w:vAlign w:val="center"/>
            <w:hideMark/>
          </w:tcPr>
          <w:p w14:paraId="409EE113" w14:textId="77777777" w:rsidR="00415C2D" w:rsidRPr="00415C2D" w:rsidRDefault="00415C2D" w:rsidP="00415C2D">
            <w:pPr>
              <w:spacing w:after="0" w:line="312" w:lineRule="auto"/>
              <w:rPr>
                <w:rFonts w:asciiTheme="majorHAnsi" w:hAnsiTheme="majorHAnsi" w:cstheme="majorHAnsi"/>
                <w:sz w:val="26"/>
                <w:szCs w:val="26"/>
              </w:rPr>
            </w:pPr>
            <w:r w:rsidRPr="00415C2D">
              <w:rPr>
                <w:rFonts w:asciiTheme="majorHAnsi" w:hAnsiTheme="majorHAnsi" w:cstheme="majorHAnsi"/>
                <w:sz w:val="26"/>
                <w:szCs w:val="26"/>
              </w:rPr>
              <w:t>1.150.000 đồng/tháng</w:t>
            </w:r>
          </w:p>
        </w:tc>
      </w:tr>
      <w:tr w:rsidR="00415C2D" w:rsidRPr="00415C2D" w14:paraId="00827029" w14:textId="77777777" w:rsidTr="006F7EAE">
        <w:tc>
          <w:tcPr>
            <w:tcW w:w="3961" w:type="dxa"/>
            <w:tcBorders>
              <w:top w:val="single" w:sz="6" w:space="0" w:color="909090"/>
              <w:left w:val="single" w:sz="6" w:space="0" w:color="909090"/>
              <w:bottom w:val="single" w:sz="6" w:space="0" w:color="909090"/>
              <w:right w:val="single" w:sz="6" w:space="0" w:color="909090"/>
            </w:tcBorders>
            <w:tcMar>
              <w:top w:w="75" w:type="dxa"/>
              <w:left w:w="75" w:type="dxa"/>
              <w:bottom w:w="75" w:type="dxa"/>
              <w:right w:w="75" w:type="dxa"/>
            </w:tcMar>
            <w:vAlign w:val="center"/>
            <w:hideMark/>
          </w:tcPr>
          <w:p w14:paraId="2AB1CE61" w14:textId="77777777" w:rsidR="00415C2D" w:rsidRPr="00415C2D" w:rsidRDefault="00415C2D" w:rsidP="00415C2D">
            <w:pPr>
              <w:spacing w:after="0" w:line="312" w:lineRule="auto"/>
              <w:rPr>
                <w:rFonts w:asciiTheme="majorHAnsi" w:hAnsiTheme="majorHAnsi" w:cstheme="majorHAnsi"/>
                <w:sz w:val="26"/>
                <w:szCs w:val="26"/>
              </w:rPr>
            </w:pPr>
            <w:r w:rsidRPr="00415C2D">
              <w:rPr>
                <w:rFonts w:asciiTheme="majorHAnsi" w:hAnsiTheme="majorHAnsi" w:cstheme="majorHAnsi"/>
                <w:sz w:val="26"/>
                <w:szCs w:val="26"/>
              </w:rPr>
              <w:t>Từ 01/05/2016 - 30/06/2017</w:t>
            </w:r>
          </w:p>
        </w:tc>
        <w:tc>
          <w:tcPr>
            <w:tcW w:w="3828" w:type="dxa"/>
            <w:tcBorders>
              <w:top w:val="single" w:sz="6" w:space="0" w:color="909090"/>
              <w:left w:val="single" w:sz="6" w:space="0" w:color="909090"/>
              <w:bottom w:val="single" w:sz="6" w:space="0" w:color="909090"/>
              <w:right w:val="single" w:sz="6" w:space="0" w:color="909090"/>
            </w:tcBorders>
            <w:tcMar>
              <w:top w:w="75" w:type="dxa"/>
              <w:left w:w="75" w:type="dxa"/>
              <w:bottom w:w="75" w:type="dxa"/>
              <w:right w:w="75" w:type="dxa"/>
            </w:tcMar>
            <w:vAlign w:val="center"/>
            <w:hideMark/>
          </w:tcPr>
          <w:p w14:paraId="02473329" w14:textId="77777777" w:rsidR="00415C2D" w:rsidRPr="00415C2D" w:rsidRDefault="00415C2D" w:rsidP="00415C2D">
            <w:pPr>
              <w:spacing w:after="0" w:line="312" w:lineRule="auto"/>
              <w:rPr>
                <w:rFonts w:asciiTheme="majorHAnsi" w:hAnsiTheme="majorHAnsi" w:cstheme="majorHAnsi"/>
                <w:sz w:val="26"/>
                <w:szCs w:val="26"/>
              </w:rPr>
            </w:pPr>
            <w:r w:rsidRPr="00415C2D">
              <w:rPr>
                <w:rFonts w:asciiTheme="majorHAnsi" w:hAnsiTheme="majorHAnsi" w:cstheme="majorHAnsi"/>
                <w:sz w:val="26"/>
                <w:szCs w:val="26"/>
              </w:rPr>
              <w:t>1.210.000 đồng/tháng</w:t>
            </w:r>
          </w:p>
        </w:tc>
      </w:tr>
      <w:tr w:rsidR="00415C2D" w:rsidRPr="00415C2D" w14:paraId="28C0BCAB" w14:textId="77777777" w:rsidTr="006F7EAE">
        <w:tc>
          <w:tcPr>
            <w:tcW w:w="3961" w:type="dxa"/>
            <w:tcBorders>
              <w:top w:val="single" w:sz="6" w:space="0" w:color="909090"/>
              <w:left w:val="single" w:sz="6" w:space="0" w:color="909090"/>
              <w:bottom w:val="single" w:sz="6" w:space="0" w:color="909090"/>
              <w:right w:val="single" w:sz="6" w:space="0" w:color="909090"/>
            </w:tcBorders>
            <w:tcMar>
              <w:top w:w="75" w:type="dxa"/>
              <w:left w:w="75" w:type="dxa"/>
              <w:bottom w:w="75" w:type="dxa"/>
              <w:right w:w="75" w:type="dxa"/>
            </w:tcMar>
            <w:vAlign w:val="center"/>
            <w:hideMark/>
          </w:tcPr>
          <w:p w14:paraId="27157438" w14:textId="77777777" w:rsidR="00415C2D" w:rsidRPr="00415C2D" w:rsidRDefault="00415C2D" w:rsidP="00415C2D">
            <w:pPr>
              <w:spacing w:after="0" w:line="312" w:lineRule="auto"/>
              <w:rPr>
                <w:rFonts w:asciiTheme="majorHAnsi" w:hAnsiTheme="majorHAnsi" w:cstheme="majorHAnsi"/>
                <w:sz w:val="26"/>
                <w:szCs w:val="26"/>
              </w:rPr>
            </w:pPr>
            <w:r w:rsidRPr="00415C2D">
              <w:rPr>
                <w:rFonts w:asciiTheme="majorHAnsi" w:hAnsiTheme="majorHAnsi" w:cstheme="majorHAnsi"/>
                <w:sz w:val="26"/>
                <w:szCs w:val="26"/>
              </w:rPr>
              <w:t>Từ 01/07/2017 - 30/06/2018</w:t>
            </w:r>
          </w:p>
        </w:tc>
        <w:tc>
          <w:tcPr>
            <w:tcW w:w="3828" w:type="dxa"/>
            <w:tcBorders>
              <w:top w:val="single" w:sz="6" w:space="0" w:color="909090"/>
              <w:left w:val="single" w:sz="6" w:space="0" w:color="909090"/>
              <w:bottom w:val="single" w:sz="6" w:space="0" w:color="909090"/>
              <w:right w:val="single" w:sz="6" w:space="0" w:color="909090"/>
            </w:tcBorders>
            <w:tcMar>
              <w:top w:w="75" w:type="dxa"/>
              <w:left w:w="75" w:type="dxa"/>
              <w:bottom w:w="75" w:type="dxa"/>
              <w:right w:w="75" w:type="dxa"/>
            </w:tcMar>
            <w:vAlign w:val="center"/>
            <w:hideMark/>
          </w:tcPr>
          <w:p w14:paraId="7D184FF7" w14:textId="77777777" w:rsidR="00415C2D" w:rsidRPr="00415C2D" w:rsidRDefault="00415C2D" w:rsidP="00415C2D">
            <w:pPr>
              <w:spacing w:after="0" w:line="312" w:lineRule="auto"/>
              <w:rPr>
                <w:rFonts w:asciiTheme="majorHAnsi" w:hAnsiTheme="majorHAnsi" w:cstheme="majorHAnsi"/>
                <w:sz w:val="26"/>
                <w:szCs w:val="26"/>
              </w:rPr>
            </w:pPr>
            <w:r w:rsidRPr="00415C2D">
              <w:rPr>
                <w:rFonts w:asciiTheme="majorHAnsi" w:hAnsiTheme="majorHAnsi" w:cstheme="majorHAnsi"/>
                <w:sz w:val="26"/>
                <w:szCs w:val="26"/>
              </w:rPr>
              <w:t>1.300.000 đồng/tháng</w:t>
            </w:r>
          </w:p>
        </w:tc>
      </w:tr>
      <w:tr w:rsidR="00415C2D" w:rsidRPr="00415C2D" w14:paraId="1F49B2BA" w14:textId="77777777" w:rsidTr="006F7EAE">
        <w:tc>
          <w:tcPr>
            <w:tcW w:w="3961" w:type="dxa"/>
            <w:tcBorders>
              <w:top w:val="single" w:sz="6" w:space="0" w:color="909090"/>
              <w:left w:val="single" w:sz="6" w:space="0" w:color="909090"/>
              <w:bottom w:val="single" w:sz="6" w:space="0" w:color="909090"/>
              <w:right w:val="single" w:sz="6" w:space="0" w:color="909090"/>
            </w:tcBorders>
            <w:tcMar>
              <w:top w:w="75" w:type="dxa"/>
              <w:left w:w="75" w:type="dxa"/>
              <w:bottom w:w="75" w:type="dxa"/>
              <w:right w:w="75" w:type="dxa"/>
            </w:tcMar>
            <w:vAlign w:val="center"/>
            <w:hideMark/>
          </w:tcPr>
          <w:p w14:paraId="0512A6A5" w14:textId="77777777" w:rsidR="00415C2D" w:rsidRPr="00415C2D" w:rsidRDefault="00415C2D" w:rsidP="00415C2D">
            <w:pPr>
              <w:spacing w:after="0" w:line="312" w:lineRule="auto"/>
              <w:rPr>
                <w:rFonts w:asciiTheme="majorHAnsi" w:hAnsiTheme="majorHAnsi" w:cstheme="majorHAnsi"/>
                <w:sz w:val="26"/>
                <w:szCs w:val="26"/>
              </w:rPr>
            </w:pPr>
            <w:r w:rsidRPr="00415C2D">
              <w:rPr>
                <w:rFonts w:asciiTheme="majorHAnsi" w:hAnsiTheme="majorHAnsi" w:cstheme="majorHAnsi"/>
                <w:sz w:val="26"/>
                <w:szCs w:val="26"/>
              </w:rPr>
              <w:t>Từ 01/07/2018 - 30/06/2019</w:t>
            </w:r>
          </w:p>
        </w:tc>
        <w:tc>
          <w:tcPr>
            <w:tcW w:w="3828" w:type="dxa"/>
            <w:tcBorders>
              <w:top w:val="single" w:sz="6" w:space="0" w:color="909090"/>
              <w:left w:val="single" w:sz="6" w:space="0" w:color="909090"/>
              <w:bottom w:val="single" w:sz="6" w:space="0" w:color="909090"/>
              <w:right w:val="single" w:sz="6" w:space="0" w:color="909090"/>
            </w:tcBorders>
            <w:tcMar>
              <w:top w:w="75" w:type="dxa"/>
              <w:left w:w="75" w:type="dxa"/>
              <w:bottom w:w="75" w:type="dxa"/>
              <w:right w:w="75" w:type="dxa"/>
            </w:tcMar>
            <w:vAlign w:val="center"/>
            <w:hideMark/>
          </w:tcPr>
          <w:p w14:paraId="378FB619" w14:textId="77777777" w:rsidR="00415C2D" w:rsidRPr="00415C2D" w:rsidRDefault="00415C2D" w:rsidP="00415C2D">
            <w:pPr>
              <w:spacing w:after="0" w:line="312" w:lineRule="auto"/>
              <w:rPr>
                <w:rFonts w:asciiTheme="majorHAnsi" w:hAnsiTheme="majorHAnsi" w:cstheme="majorHAnsi"/>
                <w:sz w:val="26"/>
                <w:szCs w:val="26"/>
              </w:rPr>
            </w:pPr>
            <w:r w:rsidRPr="00415C2D">
              <w:rPr>
                <w:rFonts w:asciiTheme="majorHAnsi" w:hAnsiTheme="majorHAnsi" w:cstheme="majorHAnsi"/>
                <w:sz w:val="26"/>
                <w:szCs w:val="26"/>
              </w:rPr>
              <w:t>1.390.000 đồng/tháng</w:t>
            </w:r>
          </w:p>
        </w:tc>
      </w:tr>
      <w:tr w:rsidR="00415C2D" w:rsidRPr="00415C2D" w14:paraId="2558A2DB" w14:textId="77777777" w:rsidTr="006F7EAE">
        <w:tc>
          <w:tcPr>
            <w:tcW w:w="3961" w:type="dxa"/>
            <w:tcBorders>
              <w:top w:val="single" w:sz="6" w:space="0" w:color="909090"/>
              <w:left w:val="single" w:sz="6" w:space="0" w:color="909090"/>
              <w:bottom w:val="single" w:sz="6" w:space="0" w:color="909090"/>
              <w:right w:val="single" w:sz="6" w:space="0" w:color="909090"/>
            </w:tcBorders>
            <w:tcMar>
              <w:top w:w="75" w:type="dxa"/>
              <w:left w:w="75" w:type="dxa"/>
              <w:bottom w:w="75" w:type="dxa"/>
              <w:right w:w="75" w:type="dxa"/>
            </w:tcMar>
            <w:vAlign w:val="center"/>
            <w:hideMark/>
          </w:tcPr>
          <w:p w14:paraId="695A54A5" w14:textId="77777777" w:rsidR="00415C2D" w:rsidRPr="00415C2D" w:rsidRDefault="00415C2D" w:rsidP="00415C2D">
            <w:pPr>
              <w:spacing w:after="0" w:line="312" w:lineRule="auto"/>
              <w:rPr>
                <w:rFonts w:asciiTheme="majorHAnsi" w:hAnsiTheme="majorHAnsi" w:cstheme="majorHAnsi"/>
                <w:sz w:val="26"/>
                <w:szCs w:val="26"/>
              </w:rPr>
            </w:pPr>
            <w:r w:rsidRPr="00415C2D">
              <w:rPr>
                <w:rFonts w:asciiTheme="majorHAnsi" w:hAnsiTheme="majorHAnsi" w:cstheme="majorHAnsi"/>
                <w:sz w:val="26"/>
                <w:szCs w:val="26"/>
              </w:rPr>
              <w:t>Từ 01/07/2019 - Hiện nay</w:t>
            </w:r>
          </w:p>
        </w:tc>
        <w:tc>
          <w:tcPr>
            <w:tcW w:w="3828" w:type="dxa"/>
            <w:tcBorders>
              <w:top w:val="single" w:sz="6" w:space="0" w:color="909090"/>
              <w:left w:val="single" w:sz="6" w:space="0" w:color="909090"/>
              <w:bottom w:val="single" w:sz="6" w:space="0" w:color="909090"/>
              <w:right w:val="single" w:sz="6" w:space="0" w:color="909090"/>
            </w:tcBorders>
            <w:tcMar>
              <w:top w:w="75" w:type="dxa"/>
              <w:left w:w="75" w:type="dxa"/>
              <w:bottom w:w="75" w:type="dxa"/>
              <w:right w:w="75" w:type="dxa"/>
            </w:tcMar>
            <w:vAlign w:val="center"/>
            <w:hideMark/>
          </w:tcPr>
          <w:p w14:paraId="496E3E4B" w14:textId="77777777" w:rsidR="00415C2D" w:rsidRPr="00415C2D" w:rsidRDefault="00415C2D" w:rsidP="00415C2D">
            <w:pPr>
              <w:spacing w:after="0" w:line="312" w:lineRule="auto"/>
              <w:rPr>
                <w:rFonts w:asciiTheme="majorHAnsi" w:hAnsiTheme="majorHAnsi" w:cstheme="majorHAnsi"/>
                <w:sz w:val="26"/>
                <w:szCs w:val="26"/>
              </w:rPr>
            </w:pPr>
            <w:r w:rsidRPr="00415C2D">
              <w:rPr>
                <w:rFonts w:asciiTheme="majorHAnsi" w:hAnsiTheme="majorHAnsi" w:cstheme="majorHAnsi"/>
                <w:sz w:val="26"/>
                <w:szCs w:val="26"/>
              </w:rPr>
              <w:t>1.490.000 đồng/tháng</w:t>
            </w:r>
          </w:p>
        </w:tc>
      </w:tr>
    </w:tbl>
    <w:p w14:paraId="546C7CB4" w14:textId="77777777" w:rsidR="00415C2D" w:rsidRPr="00415C2D" w:rsidRDefault="00415C2D" w:rsidP="00415C2D">
      <w:pPr>
        <w:spacing w:after="0" w:line="312" w:lineRule="auto"/>
        <w:rPr>
          <w:rFonts w:asciiTheme="majorHAnsi" w:hAnsiTheme="majorHAnsi" w:cstheme="majorHAnsi"/>
          <w:sz w:val="26"/>
          <w:szCs w:val="26"/>
        </w:rPr>
      </w:pPr>
      <w:r w:rsidRPr="00415C2D">
        <w:rPr>
          <w:rFonts w:asciiTheme="majorHAnsi" w:hAnsiTheme="majorHAnsi" w:cstheme="majorHAnsi"/>
          <w:sz w:val="26"/>
          <w:szCs w:val="26"/>
        </w:rPr>
        <w:t>Nhìn vào bảng ta có thể nhận thấy chu kỳ thay đổi mức lương này qua các năm là không có chu kỳ cố định và mức tiền tăng cũng khác nhau.</w:t>
      </w:r>
    </w:p>
    <w:p w14:paraId="60F8FABA" w14:textId="668177E9" w:rsidR="00415C2D" w:rsidRPr="00ED60D0" w:rsidRDefault="00ED60D0" w:rsidP="00415C2D">
      <w:pPr>
        <w:spacing w:after="0" w:line="312" w:lineRule="auto"/>
        <w:rPr>
          <w:rFonts w:asciiTheme="majorHAnsi" w:hAnsiTheme="majorHAnsi" w:cstheme="majorHAnsi"/>
          <w:b/>
          <w:bCs/>
          <w:sz w:val="26"/>
          <w:szCs w:val="26"/>
        </w:rPr>
      </w:pPr>
      <w:r w:rsidRPr="00ED60D0">
        <w:rPr>
          <w:rFonts w:asciiTheme="majorHAnsi" w:hAnsiTheme="majorHAnsi" w:cstheme="majorHAnsi"/>
          <w:b/>
          <w:bCs/>
          <w:sz w:val="26"/>
          <w:szCs w:val="26"/>
          <w:lang w:val="en-US"/>
        </w:rPr>
        <w:t>7</w:t>
      </w:r>
      <w:r w:rsidR="00415C2D" w:rsidRPr="00ED60D0">
        <w:rPr>
          <w:rFonts w:asciiTheme="majorHAnsi" w:hAnsiTheme="majorHAnsi" w:cstheme="majorHAnsi"/>
          <w:b/>
          <w:bCs/>
          <w:sz w:val="26"/>
          <w:szCs w:val="26"/>
        </w:rPr>
        <w:t>. Lộ trình cải cách tiền lương</w:t>
      </w:r>
    </w:p>
    <w:p w14:paraId="4AB79CA4" w14:textId="6673670C" w:rsidR="00415C2D" w:rsidRPr="00415C2D" w:rsidRDefault="00415C2D" w:rsidP="00415C2D">
      <w:pPr>
        <w:spacing w:after="0" w:line="312" w:lineRule="auto"/>
        <w:rPr>
          <w:rFonts w:asciiTheme="majorHAnsi" w:hAnsiTheme="majorHAnsi" w:cstheme="majorHAnsi"/>
          <w:sz w:val="26"/>
          <w:szCs w:val="26"/>
        </w:rPr>
      </w:pPr>
      <w:r w:rsidRPr="00415C2D">
        <w:rPr>
          <w:rFonts w:asciiTheme="majorHAnsi" w:hAnsiTheme="majorHAnsi" w:cstheme="majorHAnsi"/>
          <w:noProof/>
          <w:sz w:val="26"/>
          <w:szCs w:val="26"/>
          <w:lang w:val="en-US"/>
        </w:rPr>
        <w:drawing>
          <wp:inline distT="0" distB="0" distL="0" distR="0" wp14:anchorId="1955B16B" wp14:editId="7098E93D">
            <wp:extent cx="4911529" cy="4142096"/>
            <wp:effectExtent l="0" t="0" r="3810" b="0"/>
            <wp:docPr id="1" name="Picture 1" descr="Lộ trình cải cách tiền lươ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ộ trình cải cách tiền lươ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924809" cy="4153296"/>
                    </a:xfrm>
                    <a:prstGeom prst="rect">
                      <a:avLst/>
                    </a:prstGeom>
                    <a:noFill/>
                    <a:ln>
                      <a:noFill/>
                    </a:ln>
                  </pic:spPr>
                </pic:pic>
              </a:graphicData>
            </a:graphic>
          </wp:inline>
        </w:drawing>
      </w:r>
    </w:p>
    <w:p w14:paraId="01012F13" w14:textId="77777777" w:rsidR="00415C2D" w:rsidRPr="00415C2D" w:rsidRDefault="00415C2D" w:rsidP="00415C2D">
      <w:pPr>
        <w:spacing w:after="0" w:line="312" w:lineRule="auto"/>
        <w:rPr>
          <w:rFonts w:asciiTheme="majorHAnsi" w:hAnsiTheme="majorHAnsi" w:cstheme="majorHAnsi"/>
          <w:sz w:val="26"/>
          <w:szCs w:val="26"/>
        </w:rPr>
      </w:pPr>
      <w:r w:rsidRPr="00415C2D">
        <w:rPr>
          <w:rFonts w:asciiTheme="majorHAnsi" w:hAnsiTheme="majorHAnsi" w:cstheme="majorHAnsi"/>
          <w:sz w:val="26"/>
          <w:szCs w:val="26"/>
        </w:rPr>
        <w:t xml:space="preserve">Ngày 21/5/2018 Chính phủ ban hành </w:t>
      </w:r>
      <w:r w:rsidRPr="00ED60D0">
        <w:rPr>
          <w:rFonts w:asciiTheme="majorHAnsi" w:hAnsiTheme="majorHAnsi" w:cstheme="majorHAnsi"/>
          <w:b/>
          <w:bCs/>
          <w:i/>
          <w:iCs/>
          <w:sz w:val="26"/>
          <w:szCs w:val="26"/>
        </w:rPr>
        <w:t>Nghị quyết số 27-NQ/TW</w:t>
      </w:r>
      <w:r w:rsidRPr="00415C2D">
        <w:rPr>
          <w:rFonts w:asciiTheme="majorHAnsi" w:hAnsiTheme="majorHAnsi" w:cstheme="majorHAnsi"/>
          <w:sz w:val="26"/>
          <w:szCs w:val="26"/>
        </w:rPr>
        <w:t xml:space="preserve"> về cải cách chính sách tiền lương đối với cán bộ, công chức, viên chức, lực lượng vũ trạng và người lao động trong doanh nghiệp. Theo đó tinh thần của Nghị quyết thể hiện việc xây dựng hệ thống chính sách tiền lương quốc gia một cách khoa học, minh bạch, phù hợp với tình hình thực tiễn đất nước, đáp ứng yêu cầu phát triển của nền kinh tế thị trường định hướng xã hội chủ nghĩa và chủ động hội nhập quốc tế, xây dựng quan hệ lao động hài hoà, ổn định và tiến bộ; tạo động lực giải phóng sức sản xuất, nâng cao năng suất lao động, chất lượng nguồn nhân lực; góp phần xây dựng hệ thống chính trị trong sạch, tinh gọn, hoạt động hiệu lực, hiệu quả; phòng, chống tham nhũng, lãng phí; bảo đảm đời sống của người hưởng lương và gia đình người hưởng lương, thực hiện tiến bộ và công bằng xã hội.</w:t>
      </w:r>
    </w:p>
    <w:p w14:paraId="3A804750" w14:textId="77777777" w:rsidR="0005638A" w:rsidRPr="00415C2D" w:rsidRDefault="0005638A" w:rsidP="00415C2D">
      <w:pPr>
        <w:spacing w:after="0" w:line="312" w:lineRule="auto"/>
        <w:rPr>
          <w:rFonts w:asciiTheme="majorHAnsi" w:hAnsiTheme="majorHAnsi" w:cstheme="majorHAnsi"/>
          <w:sz w:val="26"/>
          <w:szCs w:val="26"/>
        </w:rPr>
      </w:pPr>
    </w:p>
    <w:sectPr w:rsidR="0005638A" w:rsidRPr="00415C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91BA7"/>
    <w:multiLevelType w:val="multilevel"/>
    <w:tmpl w:val="05DAD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4C5DC5"/>
    <w:multiLevelType w:val="multilevel"/>
    <w:tmpl w:val="2AD819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320375"/>
    <w:multiLevelType w:val="hybridMultilevel"/>
    <w:tmpl w:val="CCB621D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3E046B82"/>
    <w:multiLevelType w:val="multilevel"/>
    <w:tmpl w:val="5BEA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04B615A"/>
    <w:multiLevelType w:val="multilevel"/>
    <w:tmpl w:val="18F23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68A7BFF"/>
    <w:multiLevelType w:val="hybridMultilevel"/>
    <w:tmpl w:val="90E4F27A"/>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9"/>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C8A"/>
    <w:rsid w:val="0005638A"/>
    <w:rsid w:val="001023A9"/>
    <w:rsid w:val="00415C2D"/>
    <w:rsid w:val="004C3FE2"/>
    <w:rsid w:val="006F7EAE"/>
    <w:rsid w:val="00903556"/>
    <w:rsid w:val="00A42C8A"/>
    <w:rsid w:val="00D37F7C"/>
    <w:rsid w:val="00D406E2"/>
    <w:rsid w:val="00EB1C1C"/>
    <w:rsid w:val="00ED60D0"/>
    <w:rsid w:val="00FB442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9AA04"/>
  <w15:chartTrackingRefBased/>
  <w15:docId w15:val="{74DBA4DE-E9F5-468D-8087-5457CE645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42C8A"/>
    <w:pPr>
      <w:spacing w:before="100" w:beforeAutospacing="1" w:after="100" w:afterAutospacing="1" w:line="240" w:lineRule="auto"/>
      <w:jc w:val="left"/>
      <w:outlineLvl w:val="0"/>
    </w:pPr>
    <w:rPr>
      <w:rFonts w:eastAsia="Times New Roman" w:cs="Times New Roman"/>
      <w:b/>
      <w:bCs/>
      <w:kern w:val="36"/>
      <w:sz w:val="48"/>
      <w:szCs w:val="48"/>
      <w:lang w:eastAsia="vi-VN"/>
    </w:rPr>
  </w:style>
  <w:style w:type="paragraph" w:styleId="Heading2">
    <w:name w:val="heading 2"/>
    <w:basedOn w:val="Normal"/>
    <w:next w:val="Normal"/>
    <w:link w:val="Heading2Char"/>
    <w:uiPriority w:val="9"/>
    <w:semiHidden/>
    <w:unhideWhenUsed/>
    <w:qFormat/>
    <w:rsid w:val="00415C2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15C2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2C8A"/>
    <w:rPr>
      <w:rFonts w:eastAsia="Times New Roman" w:cs="Times New Roman"/>
      <w:b/>
      <w:bCs/>
      <w:kern w:val="36"/>
      <w:sz w:val="48"/>
      <w:szCs w:val="48"/>
      <w:lang w:eastAsia="vi-VN"/>
    </w:rPr>
  </w:style>
  <w:style w:type="character" w:styleId="Hyperlink">
    <w:name w:val="Hyperlink"/>
    <w:basedOn w:val="DefaultParagraphFont"/>
    <w:uiPriority w:val="99"/>
    <w:unhideWhenUsed/>
    <w:rsid w:val="00A42C8A"/>
    <w:rPr>
      <w:color w:val="0000FF"/>
      <w:u w:val="single"/>
    </w:rPr>
  </w:style>
  <w:style w:type="character" w:customStyle="1" w:styleId="Heading2Char">
    <w:name w:val="Heading 2 Char"/>
    <w:basedOn w:val="DefaultParagraphFont"/>
    <w:link w:val="Heading2"/>
    <w:uiPriority w:val="9"/>
    <w:semiHidden/>
    <w:rsid w:val="00415C2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415C2D"/>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415C2D"/>
    <w:pPr>
      <w:spacing w:before="100" w:beforeAutospacing="1" w:after="100" w:afterAutospacing="1" w:line="240" w:lineRule="auto"/>
      <w:jc w:val="left"/>
    </w:pPr>
    <w:rPr>
      <w:rFonts w:eastAsia="Times New Roman" w:cs="Times New Roman"/>
      <w:sz w:val="24"/>
      <w:szCs w:val="24"/>
      <w:lang w:eastAsia="vi-VN"/>
    </w:rPr>
  </w:style>
  <w:style w:type="character" w:styleId="Strong">
    <w:name w:val="Strong"/>
    <w:basedOn w:val="DefaultParagraphFont"/>
    <w:uiPriority w:val="22"/>
    <w:qFormat/>
    <w:rsid w:val="00415C2D"/>
    <w:rPr>
      <w:b/>
      <w:bCs/>
    </w:rPr>
  </w:style>
  <w:style w:type="character" w:styleId="Emphasis">
    <w:name w:val="Emphasis"/>
    <w:basedOn w:val="DefaultParagraphFont"/>
    <w:uiPriority w:val="20"/>
    <w:qFormat/>
    <w:rsid w:val="00415C2D"/>
    <w:rPr>
      <w:i/>
      <w:iCs/>
    </w:rPr>
  </w:style>
  <w:style w:type="paragraph" w:styleId="ListParagraph">
    <w:name w:val="List Paragraph"/>
    <w:basedOn w:val="Normal"/>
    <w:uiPriority w:val="34"/>
    <w:qFormat/>
    <w:rsid w:val="00415C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729355">
      <w:bodyDiv w:val="1"/>
      <w:marLeft w:val="0"/>
      <w:marRight w:val="0"/>
      <w:marTop w:val="0"/>
      <w:marBottom w:val="0"/>
      <w:divBdr>
        <w:top w:val="none" w:sz="0" w:space="0" w:color="auto"/>
        <w:left w:val="none" w:sz="0" w:space="0" w:color="auto"/>
        <w:bottom w:val="none" w:sz="0" w:space="0" w:color="auto"/>
        <w:right w:val="none" w:sz="0" w:space="0" w:color="auto"/>
      </w:divBdr>
      <w:divsChild>
        <w:div w:id="1123383792">
          <w:marLeft w:val="0"/>
          <w:marRight w:val="0"/>
          <w:marTop w:val="150"/>
          <w:marBottom w:val="150"/>
          <w:divBdr>
            <w:top w:val="dashed" w:sz="6" w:space="8" w:color="000000"/>
            <w:left w:val="dashed" w:sz="6" w:space="8" w:color="000000"/>
            <w:bottom w:val="dashed" w:sz="6" w:space="8" w:color="000000"/>
            <w:right w:val="dashed" w:sz="6" w:space="8" w:color="000000"/>
          </w:divBdr>
        </w:div>
        <w:div w:id="350684395">
          <w:marLeft w:val="0"/>
          <w:marRight w:val="0"/>
          <w:marTop w:val="150"/>
          <w:marBottom w:val="150"/>
          <w:divBdr>
            <w:top w:val="dashed" w:sz="6" w:space="8" w:color="000000"/>
            <w:left w:val="dashed" w:sz="6" w:space="8" w:color="000000"/>
            <w:bottom w:val="dashed" w:sz="6" w:space="8" w:color="000000"/>
            <w:right w:val="dashed" w:sz="6" w:space="8" w:color="000000"/>
          </w:divBdr>
        </w:div>
      </w:divsChild>
    </w:div>
    <w:div w:id="418411716">
      <w:bodyDiv w:val="1"/>
      <w:marLeft w:val="0"/>
      <w:marRight w:val="0"/>
      <w:marTop w:val="0"/>
      <w:marBottom w:val="0"/>
      <w:divBdr>
        <w:top w:val="none" w:sz="0" w:space="0" w:color="auto"/>
        <w:left w:val="none" w:sz="0" w:space="0" w:color="auto"/>
        <w:bottom w:val="none" w:sz="0" w:space="0" w:color="auto"/>
        <w:right w:val="none" w:sz="0" w:space="0" w:color="auto"/>
      </w:divBdr>
    </w:div>
    <w:div w:id="731587349">
      <w:bodyDiv w:val="1"/>
      <w:marLeft w:val="0"/>
      <w:marRight w:val="0"/>
      <w:marTop w:val="0"/>
      <w:marBottom w:val="0"/>
      <w:divBdr>
        <w:top w:val="none" w:sz="0" w:space="0" w:color="auto"/>
        <w:left w:val="none" w:sz="0" w:space="0" w:color="auto"/>
        <w:bottom w:val="none" w:sz="0" w:space="0" w:color="auto"/>
        <w:right w:val="none" w:sz="0" w:space="0" w:color="auto"/>
      </w:divBdr>
    </w:div>
    <w:div w:id="1342702560">
      <w:bodyDiv w:val="1"/>
      <w:marLeft w:val="0"/>
      <w:marRight w:val="0"/>
      <w:marTop w:val="0"/>
      <w:marBottom w:val="0"/>
      <w:divBdr>
        <w:top w:val="none" w:sz="0" w:space="0" w:color="auto"/>
        <w:left w:val="none" w:sz="0" w:space="0" w:color="auto"/>
        <w:bottom w:val="none" w:sz="0" w:space="0" w:color="auto"/>
        <w:right w:val="none" w:sz="0" w:space="0" w:color="auto"/>
      </w:divBdr>
    </w:div>
    <w:div w:id="1734740715">
      <w:bodyDiv w:val="1"/>
      <w:marLeft w:val="0"/>
      <w:marRight w:val="0"/>
      <w:marTop w:val="0"/>
      <w:marBottom w:val="0"/>
      <w:divBdr>
        <w:top w:val="none" w:sz="0" w:space="0" w:color="auto"/>
        <w:left w:val="none" w:sz="0" w:space="0" w:color="auto"/>
        <w:bottom w:val="none" w:sz="0" w:space="0" w:color="auto"/>
        <w:right w:val="none" w:sz="0" w:space="0" w:color="auto"/>
      </w:divBdr>
    </w:div>
    <w:div w:id="21072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glocal.com/thong-tu-so-10-2020-tt-bldtbxh.html" TargetMode="External"/><Relationship Id="rId13" Type="http://schemas.openxmlformats.org/officeDocument/2006/relationships/hyperlink" Target="https://es-glocal.com/luong-co-so.html" TargetMode="External"/><Relationship Id="rId18" Type="http://schemas.openxmlformats.org/officeDocument/2006/relationships/hyperlink" Target="https://es-glocal.com/luong-co-so.html" TargetMode="External"/><Relationship Id="rId3" Type="http://schemas.openxmlformats.org/officeDocument/2006/relationships/settings" Target="settings.xml"/><Relationship Id="rId21" Type="http://schemas.openxmlformats.org/officeDocument/2006/relationships/hyperlink" Target="https://es-glocal.com/nghi-quyet-86-2019-qh14-ve-du-toan-ngan-sach-nha-nuoc-nam-2020.html" TargetMode="External"/><Relationship Id="rId7" Type="http://schemas.openxmlformats.org/officeDocument/2006/relationships/hyperlink" Target="https://es-glocal.com/luong-co-so.html" TargetMode="External"/><Relationship Id="rId12" Type="http://schemas.openxmlformats.org/officeDocument/2006/relationships/hyperlink" Target="https://es-glocal.com/luong-co-so.html" TargetMode="External"/><Relationship Id="rId17" Type="http://schemas.openxmlformats.org/officeDocument/2006/relationships/hyperlink" Target="https://es-glocal.com/nghi-dinh-so-38-2019-nd-cp-ve-quy-dinh-muc-luong-co-so-doi-voi-can-bo-cong-chuc-vien-chuc-va-luc-luong-vu-trang.html" TargetMode="External"/><Relationship Id="rId2" Type="http://schemas.openxmlformats.org/officeDocument/2006/relationships/styles" Target="styles.xml"/><Relationship Id="rId16" Type="http://schemas.openxmlformats.org/officeDocument/2006/relationships/hyperlink" Target="https://es-glocal.com/nghi-dinh-so-38-2019-nd-cp-ve-quy-dinh-muc-luong-co-so-doi-voi-can-bo-cong-chuc-vien-chuc-va-luc-luong-vu-trang.html" TargetMode="External"/><Relationship Id="rId20" Type="http://schemas.openxmlformats.org/officeDocument/2006/relationships/hyperlink" Target="http://bit.ly/Luong-co-so" TargetMode="External"/><Relationship Id="rId1" Type="http://schemas.openxmlformats.org/officeDocument/2006/relationships/numbering" Target="numbering.xml"/><Relationship Id="rId6" Type="http://schemas.openxmlformats.org/officeDocument/2006/relationships/hyperlink" Target="https://es-glocal.com/nghi-dinh-90-2019-nd-cp-quy-dinh-muc-luong-toi-thieu-vung.html" TargetMode="External"/><Relationship Id="rId11" Type="http://schemas.openxmlformats.org/officeDocument/2006/relationships/hyperlink" Target="https://es-glocal.com/luong-co-so.html" TargetMode="External"/><Relationship Id="rId24" Type="http://schemas.openxmlformats.org/officeDocument/2006/relationships/theme" Target="theme/theme1.xml"/><Relationship Id="rId5" Type="http://schemas.openxmlformats.org/officeDocument/2006/relationships/hyperlink" Target="https://es-glocal.com/thong-tu-04-2019-tt-bnv-huong-dan-thuc-hien-muc-luong-co-so.html" TargetMode="External"/><Relationship Id="rId15" Type="http://schemas.openxmlformats.org/officeDocument/2006/relationships/hyperlink" Target="https://es-glocal.com/luong-co-so.html" TargetMode="External"/><Relationship Id="rId23" Type="http://schemas.openxmlformats.org/officeDocument/2006/relationships/fontTable" Target="fontTable.xml"/><Relationship Id="rId10" Type="http://schemas.openxmlformats.org/officeDocument/2006/relationships/hyperlink" Target="https://es-glocal.com/luong-co-so.html" TargetMode="External"/><Relationship Id="rId19" Type="http://schemas.openxmlformats.org/officeDocument/2006/relationships/hyperlink" Target="https://es-glocal.com/nghi-dinh-so-38-2019-nd-cp-ve-quy-dinh-muc-luong-co-so-doi-voi-can-bo-cong-chuc-vien-chuc-va-luc-luong-vu-trang.html" TargetMode="External"/><Relationship Id="rId4" Type="http://schemas.openxmlformats.org/officeDocument/2006/relationships/webSettings" Target="webSettings.xml"/><Relationship Id="rId9" Type="http://schemas.openxmlformats.org/officeDocument/2006/relationships/hyperlink" Target="https://es-glocal.com/luong-co-so.html" TargetMode="External"/><Relationship Id="rId14" Type="http://schemas.openxmlformats.org/officeDocument/2006/relationships/hyperlink" Target="https://es-glocal.com/luong-co-so.html" TargetMode="External"/><Relationship Id="rId22"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1454</Words>
  <Characters>8291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NL NHÂN</cp:lastModifiedBy>
  <cp:revision>2</cp:revision>
  <dcterms:created xsi:type="dcterms:W3CDTF">2021-01-13T02:21:00Z</dcterms:created>
  <dcterms:modified xsi:type="dcterms:W3CDTF">2021-01-18T03:30:00Z</dcterms:modified>
</cp:coreProperties>
</file>