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FB7B0" w14:textId="77777777" w:rsidR="004A4F79" w:rsidRPr="004A4F79" w:rsidRDefault="004A4F79" w:rsidP="004A4F79">
      <w:pPr>
        <w:widowControl w:val="0"/>
        <w:autoSpaceDE w:val="0"/>
        <w:autoSpaceDN w:val="0"/>
        <w:adjustRightInd w:val="0"/>
        <w:spacing w:line="360" w:lineRule="auto"/>
        <w:jc w:val="center"/>
        <w:rPr>
          <w:rFonts w:ascii="Times New Roman" w:hAnsi="Times New Roman" w:cs="Times New Roman"/>
          <w:b/>
          <w:bCs/>
          <w:sz w:val="32"/>
          <w:szCs w:val="32"/>
        </w:rPr>
      </w:pPr>
      <w:bookmarkStart w:id="0" w:name="_GoBack"/>
      <w:bookmarkEnd w:id="0"/>
      <w:r w:rsidRPr="004A4F79">
        <w:rPr>
          <w:rFonts w:ascii="Times New Roman" w:hAnsi="Times New Roman" w:cs="Times New Roman"/>
          <w:b/>
          <w:bCs/>
          <w:sz w:val="32"/>
          <w:szCs w:val="32"/>
        </w:rPr>
        <w:t>Trao đổi về quy định mới bảo lãnh ngân hàng</w:t>
      </w:r>
    </w:p>
    <w:p w14:paraId="1FF6BE85" w14:textId="77777777" w:rsidR="004A4F79" w:rsidRDefault="004A4F79" w:rsidP="004A4F79">
      <w:pPr>
        <w:widowControl w:val="0"/>
        <w:autoSpaceDE w:val="0"/>
        <w:autoSpaceDN w:val="0"/>
        <w:adjustRightInd w:val="0"/>
        <w:spacing w:line="360" w:lineRule="auto"/>
        <w:jc w:val="right"/>
        <w:rPr>
          <w:rFonts w:ascii="Times New Roman" w:hAnsi="Times New Roman" w:cs="Times New Roman"/>
          <w:bCs/>
          <w:i/>
          <w:sz w:val="28"/>
          <w:szCs w:val="28"/>
        </w:rPr>
      </w:pPr>
      <w:r>
        <w:rPr>
          <w:rFonts w:ascii="Times New Roman" w:hAnsi="Times New Roman" w:cs="Times New Roman"/>
          <w:bCs/>
          <w:i/>
          <w:sz w:val="28"/>
          <w:szCs w:val="28"/>
        </w:rPr>
        <w:t>ThS. Nguyễn Khánh Thu Hằng</w:t>
      </w:r>
    </w:p>
    <w:p w14:paraId="57F7B727" w14:textId="77777777" w:rsidR="004A4F79" w:rsidRPr="004A4F79" w:rsidRDefault="004A4F79" w:rsidP="004A4F79">
      <w:pPr>
        <w:widowControl w:val="0"/>
        <w:autoSpaceDE w:val="0"/>
        <w:autoSpaceDN w:val="0"/>
        <w:adjustRightInd w:val="0"/>
        <w:spacing w:line="360" w:lineRule="auto"/>
        <w:jc w:val="right"/>
        <w:rPr>
          <w:rFonts w:ascii="Times New Roman" w:hAnsi="Times New Roman" w:cs="Times New Roman"/>
          <w:b/>
          <w:bCs/>
          <w:sz w:val="28"/>
          <w:szCs w:val="28"/>
        </w:rPr>
      </w:pPr>
      <w:r w:rsidRPr="004A4F79">
        <w:rPr>
          <w:rFonts w:ascii="Times New Roman" w:hAnsi="Times New Roman" w:cs="Times New Roman"/>
          <w:color w:val="151719"/>
          <w:sz w:val="28"/>
          <w:szCs w:val="28"/>
        </w:rPr>
        <w:t> </w:t>
      </w:r>
    </w:p>
    <w:p w14:paraId="553A2DE8" w14:textId="77777777" w:rsidR="004A4F79" w:rsidRDefault="004A4F79" w:rsidP="004A4F79">
      <w:pPr>
        <w:widowControl w:val="0"/>
        <w:autoSpaceDE w:val="0"/>
        <w:autoSpaceDN w:val="0"/>
        <w:adjustRightInd w:val="0"/>
        <w:spacing w:line="360" w:lineRule="auto"/>
        <w:ind w:firstLine="720"/>
        <w:jc w:val="both"/>
        <w:rPr>
          <w:rFonts w:ascii="Times New Roman" w:hAnsi="Times New Roman" w:cs="Times New Roman"/>
          <w:i/>
          <w:iCs/>
          <w:sz w:val="28"/>
          <w:szCs w:val="28"/>
        </w:rPr>
      </w:pPr>
      <w:r w:rsidRPr="004A4F79">
        <w:rPr>
          <w:rFonts w:ascii="Times New Roman" w:hAnsi="Times New Roman" w:cs="Times New Roman"/>
          <w:i/>
          <w:iCs/>
          <w:sz w:val="28"/>
          <w:szCs w:val="28"/>
        </w:rPr>
        <w:t>Ngân hàng Nhà nước Việt Nam (NHNN) ban hành Thông tư số 11/2022/TT-NHNN quy định về bảo lãnh ngân hàng thay thế Thông tư số 07/2015/TT-NHNN ngày 03/10/2012 và Thông tư số 13/2017/TT-NHNN ngày 29/9/2017 sửa đổi, bổ sung một số điều của Thông tư số 07/2015/TT-NHNN.</w:t>
      </w:r>
    </w:p>
    <w:p w14:paraId="33FFF5D9" w14:textId="77777777" w:rsidR="004A4F79" w:rsidRPr="004A4F79" w:rsidRDefault="004A4F79" w:rsidP="004A4F79">
      <w:pPr>
        <w:widowControl w:val="0"/>
        <w:autoSpaceDE w:val="0"/>
        <w:autoSpaceDN w:val="0"/>
        <w:adjustRightInd w:val="0"/>
        <w:spacing w:line="360" w:lineRule="auto"/>
        <w:ind w:firstLine="720"/>
        <w:jc w:val="both"/>
        <w:rPr>
          <w:rFonts w:ascii="Times New Roman" w:hAnsi="Times New Roman" w:cs="Times New Roman"/>
          <w:i/>
          <w:iCs/>
          <w:sz w:val="28"/>
          <w:szCs w:val="28"/>
        </w:rPr>
      </w:pPr>
    </w:p>
    <w:p w14:paraId="7D875421" w14:textId="77777777" w:rsidR="004A4F79" w:rsidRPr="004A4F79" w:rsidRDefault="004A4F79" w:rsidP="004A4F79">
      <w:pPr>
        <w:widowControl w:val="0"/>
        <w:autoSpaceDE w:val="0"/>
        <w:autoSpaceDN w:val="0"/>
        <w:adjustRightInd w:val="0"/>
        <w:spacing w:line="360" w:lineRule="auto"/>
        <w:ind w:firstLine="720"/>
        <w:jc w:val="both"/>
        <w:rPr>
          <w:rFonts w:ascii="Times New Roman" w:hAnsi="Times New Roman" w:cs="Times New Roman"/>
          <w:sz w:val="28"/>
          <w:szCs w:val="28"/>
        </w:rPr>
      </w:pPr>
      <w:r w:rsidRPr="004A4F79">
        <w:rPr>
          <w:rFonts w:ascii="Times New Roman" w:hAnsi="Times New Roman" w:cs="Times New Roman"/>
          <w:sz w:val="28"/>
          <w:szCs w:val="28"/>
        </w:rPr>
        <w:t>Thông tư số 11/2022/TT-NHNN quy định, bảo lãnh ngân hàng là hình thức cấp tín dụng, theo đó bên bảo lãnh là tổ chức tín dụng, chi nhánh ngân hàng nước ngoài cam kết với bên nhận bảo lãnh về việc sẽ thực hiện nghĩa vụ tài chính thay cho bên được bảo lãnh khi bên được bảo lãnh không thực hiện hoặc thực hiện không đầy đủ nghĩa vụ đã cam kết với bên nhận bảo lãnh; bên được bảo lãnh phải nhận nợ và hoàn trả cho bên bảo lãnh theo thỏa thuận đã ký.</w:t>
      </w:r>
      <w:r>
        <w:rPr>
          <w:rFonts w:ascii="Times New Roman" w:hAnsi="Times New Roman" w:cs="Times New Roman"/>
          <w:sz w:val="28"/>
          <w:szCs w:val="28"/>
        </w:rPr>
        <w:t xml:space="preserve"> </w:t>
      </w:r>
      <w:r w:rsidRPr="004A4F79">
        <w:rPr>
          <w:rFonts w:ascii="Times New Roman" w:hAnsi="Times New Roman" w:cs="Times New Roman"/>
          <w:sz w:val="28"/>
          <w:szCs w:val="28"/>
        </w:rPr>
        <w:t>Việc phát hành bảo lãnh bằng ngoại tệ của tổ chức tín dụng, chi nhánh ngân hàng nước ngoài phải phù hợp với phạm vi hoạt động ngoại hối trên thị trường trong nước và thị trường quốc tế được quy định tại giấy phép hoạt động của từng loại hình tổ chức tín dụng, chi nhánh ngân hàng nước ngoài.</w:t>
      </w:r>
      <w:r>
        <w:rPr>
          <w:rFonts w:ascii="Times New Roman" w:hAnsi="Times New Roman" w:cs="Times New Roman"/>
          <w:sz w:val="28"/>
          <w:szCs w:val="28"/>
        </w:rPr>
        <w:t xml:space="preserve"> </w:t>
      </w:r>
      <w:r w:rsidRPr="004A4F79">
        <w:rPr>
          <w:rFonts w:ascii="Times New Roman" w:hAnsi="Times New Roman" w:cs="Times New Roman"/>
          <w:sz w:val="28"/>
          <w:szCs w:val="28"/>
        </w:rPr>
        <w:t>Tổ chức tín dụng, chi nhánh ngân hàng nước ngoài chỉ thực hiện bảo lãnh bằng ngoại tệ cho khách hàng đối với nghĩa vụ tài chính hợp pháp bằng ngoại tệ theo quy định của pháp luật.</w:t>
      </w:r>
      <w:r>
        <w:rPr>
          <w:rFonts w:ascii="Times New Roman" w:hAnsi="Times New Roman" w:cs="Times New Roman"/>
          <w:sz w:val="28"/>
          <w:szCs w:val="28"/>
        </w:rPr>
        <w:t xml:space="preserve"> </w:t>
      </w:r>
      <w:r w:rsidRPr="004A4F79">
        <w:rPr>
          <w:rFonts w:ascii="Times New Roman" w:hAnsi="Times New Roman" w:cs="Times New Roman"/>
          <w:sz w:val="28"/>
          <w:szCs w:val="28"/>
        </w:rPr>
        <w:t>Khi thực hiện bảo lãnh, tổ chức tín dụng, chi nhánh ngân hàng nước ngoài phải tuân thủ các quy định tại Luật các tổ chức tín dụng và hướng dẫn của NHNN về những trường hợp không được cấp tín dụng, hạn chế cấp tín dụng, giới hạn cấp tín dụng.</w:t>
      </w:r>
      <w:r>
        <w:rPr>
          <w:rFonts w:ascii="Times New Roman" w:hAnsi="Times New Roman" w:cs="Times New Roman"/>
          <w:sz w:val="28"/>
          <w:szCs w:val="28"/>
        </w:rPr>
        <w:t xml:space="preserve"> </w:t>
      </w:r>
      <w:r w:rsidRPr="004A4F79">
        <w:rPr>
          <w:rFonts w:ascii="Times New Roman" w:hAnsi="Times New Roman" w:cs="Times New Roman"/>
          <w:sz w:val="28"/>
          <w:szCs w:val="28"/>
        </w:rPr>
        <w:t>Tổ chức tín dụng, chi nhánh ngân hàng nước ngoài và khách hàng được lựa chọn thực hiện hoạt động bảo lãnh ngân hàng qua việc sử dụng các phương tiện điện tử (hoạt động bảo lãnh điện tử).</w:t>
      </w:r>
      <w:r>
        <w:rPr>
          <w:rFonts w:ascii="Times New Roman" w:hAnsi="Times New Roman" w:cs="Times New Roman"/>
          <w:sz w:val="28"/>
          <w:szCs w:val="28"/>
        </w:rPr>
        <w:t xml:space="preserve"> </w:t>
      </w:r>
      <w:r w:rsidRPr="004A4F79">
        <w:rPr>
          <w:rFonts w:ascii="Times New Roman" w:hAnsi="Times New Roman" w:cs="Times New Roman"/>
          <w:sz w:val="28"/>
          <w:szCs w:val="28"/>
        </w:rPr>
        <w:t>Việc thực hiện hoạt động bảo lãnh điện tử phải đảm bả</w:t>
      </w:r>
      <w:r>
        <w:rPr>
          <w:rFonts w:ascii="Times New Roman" w:hAnsi="Times New Roman" w:cs="Times New Roman"/>
          <w:sz w:val="28"/>
          <w:szCs w:val="28"/>
        </w:rPr>
        <w:t xml:space="preserve">o an </w:t>
      </w:r>
      <w:r w:rsidRPr="004A4F79">
        <w:rPr>
          <w:rFonts w:ascii="Times New Roman" w:hAnsi="Times New Roman" w:cs="Times New Roman"/>
          <w:sz w:val="28"/>
          <w:szCs w:val="28"/>
        </w:rPr>
        <w:t xml:space="preserve">ninh, an toàn, bảo vệ thông điệp dữ liệu và bảo mật thông tin phù hợp với quy định của pháp luật về phòng chống rửa tiền, giao dịch </w:t>
      </w:r>
      <w:r w:rsidRPr="004A4F79">
        <w:rPr>
          <w:rFonts w:ascii="Times New Roman" w:hAnsi="Times New Roman" w:cs="Times New Roman"/>
          <w:sz w:val="28"/>
          <w:szCs w:val="28"/>
        </w:rPr>
        <w:lastRenderedPageBreak/>
        <w:t>điện tử, hướng dẫn của NHNN về quản lý rủi ro trong hoạt động ngân hàng điện tử và các văn bản pháp luật khác có liên quan.</w:t>
      </w:r>
      <w:r>
        <w:rPr>
          <w:rFonts w:ascii="Times New Roman" w:hAnsi="Times New Roman" w:cs="Times New Roman"/>
          <w:sz w:val="28"/>
          <w:szCs w:val="28"/>
        </w:rPr>
        <w:t xml:space="preserve"> </w:t>
      </w:r>
      <w:r w:rsidRPr="004A4F79">
        <w:rPr>
          <w:rFonts w:ascii="Times New Roman" w:hAnsi="Times New Roman" w:cs="Times New Roman"/>
          <w:sz w:val="28"/>
          <w:szCs w:val="28"/>
        </w:rPr>
        <w:t>Tổ chức tín dụng, chi nhánh ngân hàng nước ngoài tự quyết định biện pháp, hình thức, công nghệ thực hiện hoạt động bảo lãnh điện tử đối với toàn bộ hoặc từng khâu trong quy trình bảo lãnh, tự chịu rủi ro phát sinh (nếu có) và phải đáp ứng các yêu cầu.</w:t>
      </w:r>
    </w:p>
    <w:p w14:paraId="4BB36F12" w14:textId="77777777" w:rsidR="004A4F79" w:rsidRPr="004A4F79" w:rsidRDefault="004A4F79" w:rsidP="004A4F79">
      <w:pPr>
        <w:widowControl w:val="0"/>
        <w:autoSpaceDE w:val="0"/>
        <w:autoSpaceDN w:val="0"/>
        <w:adjustRightInd w:val="0"/>
        <w:spacing w:line="360" w:lineRule="auto"/>
        <w:ind w:firstLine="720"/>
        <w:jc w:val="both"/>
        <w:rPr>
          <w:rFonts w:ascii="Times New Roman" w:hAnsi="Times New Roman" w:cs="Times New Roman"/>
          <w:sz w:val="28"/>
          <w:szCs w:val="28"/>
        </w:rPr>
      </w:pPr>
      <w:r w:rsidRPr="004A4F79">
        <w:rPr>
          <w:rFonts w:ascii="Times New Roman" w:hAnsi="Times New Roman" w:cs="Times New Roman"/>
          <w:sz w:val="28"/>
          <w:szCs w:val="28"/>
        </w:rPr>
        <w:t>Thông tư số 11/2022/TT-NHNN</w:t>
      </w:r>
      <w:r>
        <w:rPr>
          <w:rFonts w:ascii="Times New Roman" w:hAnsi="Times New Roman" w:cs="Times New Roman"/>
          <w:sz w:val="28"/>
          <w:szCs w:val="28"/>
        </w:rPr>
        <w:t xml:space="preserve"> cũng quy định</w:t>
      </w:r>
      <w:r w:rsidRPr="004A4F79">
        <w:rPr>
          <w:rFonts w:ascii="Times New Roman" w:hAnsi="Times New Roman" w:cs="Times New Roman"/>
          <w:sz w:val="28"/>
          <w:szCs w:val="28"/>
        </w:rPr>
        <w:t xml:space="preserve"> ngân hàng thương mại có đủ năng lực thực hiện bảo lãnh nhà ở hình thành trong tương lai khi: Trong giấy phép thành lập và hoạt động hoặc tại văn bản sửa đổi, bổ sung giấy phép thành lập và hoạt động của ngân hàng thương mại có quy định nội dung hoạt động bảo lãnh ngân hàng; không bị cấm, hạn chế, đình chỉ, tạm đình chỉ thực hiện bảo lãnh nhà ở hình thành trong tương lai.</w:t>
      </w:r>
      <w:r>
        <w:rPr>
          <w:rFonts w:ascii="Times New Roman" w:hAnsi="Times New Roman" w:cs="Times New Roman"/>
          <w:sz w:val="28"/>
          <w:szCs w:val="28"/>
        </w:rPr>
        <w:t xml:space="preserve"> </w:t>
      </w:r>
      <w:r w:rsidRPr="004A4F79">
        <w:rPr>
          <w:rFonts w:ascii="Times New Roman" w:hAnsi="Times New Roman" w:cs="Times New Roman"/>
          <w:sz w:val="28"/>
          <w:szCs w:val="28"/>
        </w:rPr>
        <w:t>NHNN công bố công khai danh sách ngân hàng thương mại có đủ năng lực thực hiện bảo lãnh nhà ở hình thành trong tương lai trong từng thời kỳ trên cổng thông tin điện tử của NHNN.</w:t>
      </w:r>
      <w:r>
        <w:rPr>
          <w:rFonts w:ascii="Times New Roman" w:hAnsi="Times New Roman" w:cs="Times New Roman"/>
          <w:sz w:val="28"/>
          <w:szCs w:val="28"/>
        </w:rPr>
        <w:t xml:space="preserve"> </w:t>
      </w:r>
      <w:r w:rsidRPr="004A4F79">
        <w:rPr>
          <w:rFonts w:ascii="Times New Roman" w:hAnsi="Times New Roman" w:cs="Times New Roman"/>
          <w:sz w:val="28"/>
          <w:szCs w:val="28"/>
        </w:rPr>
        <w:t>Ngân hàng thương mại xem xét, quyết định cấp bảo lãnh cho chủ đầu tư khi chủ đầu tư đáp ứng đủ các yêu cầu quy định (trừ trường hợp ngân hàng thương mại bảo lãnh cho chủ đầu tư trên cơ sở bảo lãnh đối ứng); dự án của chủ đầu tư đáp ứng đủ các điều kiện của bất động sản hình thành trong tương lai được đưa vào kinh doanh theo quy định tại Điều 55 Luật Kinh doanh bất động sản và quy định của pháp luật có liên quan.</w:t>
      </w:r>
    </w:p>
    <w:p w14:paraId="3DB8F3C2" w14:textId="77777777" w:rsidR="004A4F79" w:rsidRPr="004A4F79" w:rsidRDefault="004A4F79" w:rsidP="004A4F79">
      <w:pPr>
        <w:widowControl w:val="0"/>
        <w:autoSpaceDE w:val="0"/>
        <w:autoSpaceDN w:val="0"/>
        <w:adjustRightInd w:val="0"/>
        <w:spacing w:line="360" w:lineRule="auto"/>
        <w:jc w:val="both"/>
        <w:rPr>
          <w:rFonts w:ascii="Times New Roman" w:hAnsi="Times New Roman" w:cs="Times New Roman"/>
          <w:sz w:val="28"/>
          <w:szCs w:val="28"/>
        </w:rPr>
      </w:pPr>
      <w:r w:rsidRPr="004A4F79">
        <w:rPr>
          <w:rFonts w:ascii="Times New Roman" w:hAnsi="Times New Roman" w:cs="Times New Roman"/>
          <w:sz w:val="28"/>
          <w:szCs w:val="28"/>
        </w:rPr>
        <w:t>Số tiền bảo lãnh cho một dự án nhà ở hình thành trong tương lai tối đa bằng tổng số tiền chủ đầu tư được phép nhận ứng trước của bên mua theo quy định tại Điều 57 Luật Kinh doanh bất động sản và các khoản tiền khác (nếu có) theo hợp đồng mua, thuê mua nhà ở.</w:t>
      </w:r>
    </w:p>
    <w:p w14:paraId="7B6C3ABB" w14:textId="77777777" w:rsidR="004A4F79" w:rsidRPr="004A4F79" w:rsidRDefault="004A4F79" w:rsidP="004A4F79">
      <w:pPr>
        <w:widowControl w:val="0"/>
        <w:autoSpaceDE w:val="0"/>
        <w:autoSpaceDN w:val="0"/>
        <w:adjustRightInd w:val="0"/>
        <w:spacing w:line="360" w:lineRule="auto"/>
        <w:ind w:firstLine="720"/>
        <w:jc w:val="both"/>
        <w:rPr>
          <w:rFonts w:ascii="Times New Roman" w:hAnsi="Times New Roman" w:cs="Times New Roman"/>
          <w:sz w:val="28"/>
          <w:szCs w:val="28"/>
        </w:rPr>
      </w:pPr>
      <w:r w:rsidRPr="004A4F79">
        <w:rPr>
          <w:rFonts w:ascii="Times New Roman" w:hAnsi="Times New Roman" w:cs="Times New Roman"/>
          <w:bCs/>
          <w:sz w:val="28"/>
          <w:szCs w:val="28"/>
        </w:rPr>
        <w:t xml:space="preserve">Tổ </w:t>
      </w:r>
      <w:r w:rsidRPr="004A4F79">
        <w:rPr>
          <w:rFonts w:ascii="Times New Roman" w:hAnsi="Times New Roman" w:cs="Times New Roman"/>
          <w:sz w:val="28"/>
          <w:szCs w:val="28"/>
        </w:rPr>
        <w:t>chức tín dụng, chi nhánh ngân hàng nước ngoài thỏa thuận mức phí bảo lãnh đối với khách hàng và các bên liên quan (nếu có).</w:t>
      </w:r>
      <w:r>
        <w:rPr>
          <w:rFonts w:ascii="Times New Roman" w:hAnsi="Times New Roman" w:cs="Times New Roman"/>
          <w:sz w:val="28"/>
          <w:szCs w:val="28"/>
        </w:rPr>
        <w:t xml:space="preserve"> </w:t>
      </w:r>
      <w:r w:rsidRPr="004A4F79">
        <w:rPr>
          <w:rFonts w:ascii="Times New Roman" w:hAnsi="Times New Roman" w:cs="Times New Roman"/>
          <w:sz w:val="28"/>
          <w:szCs w:val="28"/>
        </w:rPr>
        <w:t>Thông tư này có hiệu lực thi hành từ ngày 01/4/2023.</w:t>
      </w:r>
    </w:p>
    <w:p w14:paraId="02160F4C" w14:textId="77777777" w:rsidR="008F3AF6" w:rsidRDefault="004A4F79" w:rsidP="004A4F79">
      <w:pPr>
        <w:spacing w:line="360" w:lineRule="auto"/>
        <w:jc w:val="both"/>
        <w:rPr>
          <w:rFonts w:ascii="Times New Roman" w:hAnsi="Times New Roman" w:cs="Times New Roman"/>
          <w:b/>
          <w:sz w:val="28"/>
          <w:szCs w:val="28"/>
        </w:rPr>
      </w:pPr>
      <w:r>
        <w:rPr>
          <w:rFonts w:ascii="Times New Roman" w:hAnsi="Times New Roman" w:cs="Times New Roman"/>
          <w:b/>
          <w:sz w:val="28"/>
          <w:szCs w:val="28"/>
        </w:rPr>
        <w:t>Tài liệu tham khảo</w:t>
      </w:r>
    </w:p>
    <w:p w14:paraId="235597B9" w14:textId="77777777" w:rsidR="004A4F79" w:rsidRPr="004A4F79" w:rsidRDefault="004A4F79" w:rsidP="004A4F79">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1. </w:t>
      </w:r>
      <w:r w:rsidRPr="004A4F79">
        <w:rPr>
          <w:rFonts w:ascii="Times New Roman" w:hAnsi="Times New Roman" w:cs="Times New Roman"/>
          <w:sz w:val="28"/>
          <w:szCs w:val="28"/>
        </w:rPr>
        <w:t>Thông tư số 11/2022/TT-NHNN</w:t>
      </w:r>
    </w:p>
    <w:sectPr w:rsidR="004A4F79" w:rsidRPr="004A4F79" w:rsidSect="00CE420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79"/>
    <w:rsid w:val="002C6341"/>
    <w:rsid w:val="004A4F79"/>
    <w:rsid w:val="0096494A"/>
    <w:rsid w:val="00A9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2F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3</cp:revision>
  <dcterms:created xsi:type="dcterms:W3CDTF">2022-10-17T22:49:00Z</dcterms:created>
  <dcterms:modified xsi:type="dcterms:W3CDTF">2022-10-17T22:49:00Z</dcterms:modified>
</cp:coreProperties>
</file>