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AC4B" w14:textId="5E498707" w:rsidR="00527C0F" w:rsidRPr="00527C0F" w:rsidRDefault="00527C0F" w:rsidP="00527C0F">
      <w:pPr>
        <w:spacing w:line="360" w:lineRule="auto"/>
        <w:jc w:val="center"/>
        <w:outlineLvl w:val="0"/>
        <w:rPr>
          <w:rFonts w:ascii="Times New Roman" w:eastAsia="Times New Roman" w:hAnsi="Times New Roman" w:cs="Times New Roman"/>
          <w:b/>
          <w:bCs/>
          <w:kern w:val="36"/>
          <w:sz w:val="32"/>
          <w:szCs w:val="32"/>
        </w:rPr>
      </w:pPr>
      <w:proofErr w:type="spellStart"/>
      <w:r w:rsidRPr="00527C0F">
        <w:rPr>
          <w:rFonts w:ascii="Times New Roman" w:eastAsia="Times New Roman" w:hAnsi="Times New Roman" w:cs="Times New Roman"/>
          <w:b/>
          <w:bCs/>
          <w:kern w:val="36"/>
          <w:sz w:val="32"/>
          <w:szCs w:val="32"/>
          <w:lang w:val="en-US"/>
        </w:rPr>
        <w:t>Trao</w:t>
      </w:r>
      <w:proofErr w:type="spellEnd"/>
      <w:r w:rsidRPr="00527C0F">
        <w:rPr>
          <w:rFonts w:ascii="Times New Roman" w:eastAsia="Times New Roman" w:hAnsi="Times New Roman" w:cs="Times New Roman"/>
          <w:b/>
          <w:bCs/>
          <w:kern w:val="36"/>
          <w:sz w:val="32"/>
          <w:szCs w:val="32"/>
          <w:lang w:val="en-US"/>
        </w:rPr>
        <w:t xml:space="preserve"> </w:t>
      </w:r>
      <w:proofErr w:type="spellStart"/>
      <w:r w:rsidRPr="00527C0F">
        <w:rPr>
          <w:rFonts w:ascii="Times New Roman" w:eastAsia="Times New Roman" w:hAnsi="Times New Roman" w:cs="Times New Roman"/>
          <w:b/>
          <w:bCs/>
          <w:kern w:val="36"/>
          <w:sz w:val="32"/>
          <w:szCs w:val="32"/>
          <w:lang w:val="en-US"/>
        </w:rPr>
        <w:t>đổi</w:t>
      </w:r>
      <w:proofErr w:type="spellEnd"/>
      <w:r w:rsidRPr="00527C0F">
        <w:rPr>
          <w:rFonts w:ascii="Times New Roman" w:eastAsia="Times New Roman" w:hAnsi="Times New Roman" w:cs="Times New Roman"/>
          <w:b/>
          <w:bCs/>
          <w:kern w:val="36"/>
          <w:sz w:val="32"/>
          <w:szCs w:val="32"/>
          <w:lang w:val="en-US"/>
        </w:rPr>
        <w:t xml:space="preserve"> </w:t>
      </w:r>
      <w:proofErr w:type="spellStart"/>
      <w:r w:rsidRPr="00527C0F">
        <w:rPr>
          <w:rFonts w:ascii="Times New Roman" w:eastAsia="Times New Roman" w:hAnsi="Times New Roman" w:cs="Times New Roman"/>
          <w:b/>
          <w:bCs/>
          <w:kern w:val="36"/>
          <w:sz w:val="32"/>
          <w:szCs w:val="32"/>
          <w:lang w:val="en-US"/>
        </w:rPr>
        <w:t>về</w:t>
      </w:r>
      <w:proofErr w:type="spellEnd"/>
      <w:r w:rsidRPr="00527C0F">
        <w:rPr>
          <w:rFonts w:ascii="Times New Roman" w:eastAsia="Times New Roman" w:hAnsi="Times New Roman" w:cs="Times New Roman"/>
          <w:b/>
          <w:bCs/>
          <w:kern w:val="36"/>
          <w:sz w:val="32"/>
          <w:szCs w:val="32"/>
          <w:lang w:val="en-US"/>
        </w:rPr>
        <w:t xml:space="preserve"> </w:t>
      </w:r>
      <w:r w:rsidRPr="00527C0F">
        <w:rPr>
          <w:rFonts w:ascii="Times New Roman" w:eastAsia="Times New Roman" w:hAnsi="Times New Roman" w:cs="Times New Roman"/>
          <w:b/>
          <w:bCs/>
          <w:kern w:val="36"/>
          <w:sz w:val="32"/>
          <w:szCs w:val="32"/>
        </w:rPr>
        <w:t>sửa đổi Luật thuế giá trị gia tăng</w:t>
      </w:r>
    </w:p>
    <w:p w14:paraId="45CE0EFB" w14:textId="44F6D3A0" w:rsidR="00527C0F" w:rsidRPr="00527C0F" w:rsidRDefault="00527C0F" w:rsidP="00527C0F">
      <w:pPr>
        <w:spacing w:line="360" w:lineRule="auto"/>
        <w:jc w:val="right"/>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ThS</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Nguyễn</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Khánh</w:t>
      </w:r>
      <w:proofErr w:type="spellEnd"/>
      <w:r>
        <w:rPr>
          <w:rFonts w:ascii="Times New Roman" w:eastAsia="Times New Roman" w:hAnsi="Times New Roman" w:cs="Times New Roman"/>
          <w:b/>
          <w:bCs/>
          <w:kern w:val="36"/>
          <w:sz w:val="28"/>
          <w:szCs w:val="28"/>
          <w:lang w:val="en-US"/>
        </w:rPr>
        <w:t xml:space="preserve"> Thu </w:t>
      </w:r>
      <w:proofErr w:type="spellStart"/>
      <w:r>
        <w:rPr>
          <w:rFonts w:ascii="Times New Roman" w:eastAsia="Times New Roman" w:hAnsi="Times New Roman" w:cs="Times New Roman"/>
          <w:b/>
          <w:bCs/>
          <w:kern w:val="36"/>
          <w:sz w:val="28"/>
          <w:szCs w:val="28"/>
          <w:lang w:val="en-US"/>
        </w:rPr>
        <w:t>Hằng</w:t>
      </w:r>
      <w:proofErr w:type="spellEnd"/>
    </w:p>
    <w:p w14:paraId="3E1D88E2" w14:textId="3B2FEBF5" w:rsidR="00527C0F" w:rsidRPr="00527C0F" w:rsidRDefault="00527C0F" w:rsidP="00527C0F">
      <w:pPr>
        <w:spacing w:line="360" w:lineRule="auto"/>
        <w:jc w:val="both"/>
        <w:outlineLvl w:val="1"/>
        <w:rPr>
          <w:rFonts w:ascii="Times New Roman" w:eastAsia="Times New Roman" w:hAnsi="Times New Roman" w:cs="Times New Roman"/>
          <w:b/>
          <w:bCs/>
          <w:sz w:val="28"/>
          <w:szCs w:val="28"/>
          <w:lang w:val="en-US"/>
        </w:rPr>
      </w:pPr>
      <w:proofErr w:type="spellStart"/>
      <w:r w:rsidRPr="00527C0F">
        <w:rPr>
          <w:rFonts w:ascii="Times New Roman" w:eastAsia="Times New Roman" w:hAnsi="Times New Roman" w:cs="Times New Roman"/>
          <w:b/>
          <w:bCs/>
          <w:sz w:val="28"/>
          <w:szCs w:val="28"/>
          <w:lang w:val="en-US"/>
        </w:rPr>
        <w:t>Tóm</w:t>
      </w:r>
      <w:proofErr w:type="spellEnd"/>
      <w:r w:rsidRPr="00527C0F">
        <w:rPr>
          <w:rFonts w:ascii="Times New Roman" w:eastAsia="Times New Roman" w:hAnsi="Times New Roman" w:cs="Times New Roman"/>
          <w:b/>
          <w:bCs/>
          <w:sz w:val="28"/>
          <w:szCs w:val="28"/>
          <w:lang w:val="en-US"/>
        </w:rPr>
        <w:t xml:space="preserve"> </w:t>
      </w:r>
      <w:proofErr w:type="spellStart"/>
      <w:r w:rsidRPr="00527C0F">
        <w:rPr>
          <w:rFonts w:ascii="Times New Roman" w:eastAsia="Times New Roman" w:hAnsi="Times New Roman" w:cs="Times New Roman"/>
          <w:b/>
          <w:bCs/>
          <w:sz w:val="28"/>
          <w:szCs w:val="28"/>
          <w:lang w:val="en-US"/>
        </w:rPr>
        <w:t>tắt</w:t>
      </w:r>
      <w:proofErr w:type="spellEnd"/>
    </w:p>
    <w:p w14:paraId="0FC3FA64" w14:textId="6C69979B" w:rsidR="00527C0F" w:rsidRDefault="00527C0F" w:rsidP="00527C0F">
      <w:pPr>
        <w:spacing w:line="360" w:lineRule="auto"/>
        <w:ind w:firstLine="720"/>
        <w:jc w:val="both"/>
        <w:outlineLvl w:val="1"/>
        <w:rPr>
          <w:rFonts w:ascii="Times New Roman" w:eastAsia="Times New Roman" w:hAnsi="Times New Roman" w:cs="Times New Roman"/>
          <w:sz w:val="28"/>
          <w:szCs w:val="28"/>
          <w:lang w:val="en-US"/>
        </w:rPr>
      </w:pPr>
      <w:r w:rsidRPr="00527C0F">
        <w:rPr>
          <w:rFonts w:ascii="Times New Roman" w:eastAsia="Times New Roman" w:hAnsi="Times New Roman" w:cs="Times New Roman"/>
          <w:sz w:val="28"/>
          <w:szCs w:val="28"/>
        </w:rPr>
        <w:t>Bộ Tài chính vừa hoàn thiện Dự án Luật thuế giá trị gia tăng (GTGT) sửa đổi nhằm tháo gỡ bất cập, chồng chéo trong hệ thống pháp luật thuế này.</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Bài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viết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này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trao</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đổi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về</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những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thay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đổi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của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Luật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thuế</w:t>
      </w:r>
      <w:proofErr w:type="spellEnd"/>
      <w:r>
        <w:rPr>
          <w:rFonts w:ascii="Times New Roman" w:eastAsia="Times New Roman" w:hAnsi="Times New Roman" w:cs="Times New Roman"/>
          <w:sz w:val="28"/>
          <w:szCs w:val="28"/>
          <w:lang w:val="en-US"/>
        </w:rPr>
        <w:t xml:space="preserve"> GTGT</w:t>
      </w:r>
    </w:p>
    <w:p w14:paraId="6A2DF0C4" w14:textId="0CDDFAE9" w:rsidR="00527C0F" w:rsidRPr="00527C0F" w:rsidRDefault="00527C0F" w:rsidP="00527C0F">
      <w:pPr>
        <w:spacing w:line="360" w:lineRule="auto"/>
        <w:ind w:firstLine="720"/>
        <w:jc w:val="both"/>
        <w:outlineLvl w:val="1"/>
        <w:rPr>
          <w:rFonts w:ascii="Times New Roman" w:eastAsia="Times New Roman" w:hAnsi="Times New Roman" w:cs="Times New Roman"/>
          <w:i/>
          <w:iCs/>
          <w:sz w:val="28"/>
          <w:szCs w:val="28"/>
          <w:lang w:val="en-US"/>
        </w:rPr>
      </w:pPr>
      <w:proofErr w:type="spellStart"/>
      <w:r>
        <w:rPr>
          <w:rFonts w:ascii="Times New Roman" w:eastAsia="Times New Roman" w:hAnsi="Times New Roman" w:cs="Times New Roman"/>
          <w:i/>
          <w:iCs/>
          <w:sz w:val="28"/>
          <w:szCs w:val="28"/>
          <w:lang w:val="en-US"/>
        </w:rPr>
        <w:t>Từ</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khóa</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Luật</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thuế</w:t>
      </w:r>
      <w:proofErr w:type="spellEnd"/>
      <w:r>
        <w:rPr>
          <w:rFonts w:ascii="Times New Roman" w:eastAsia="Times New Roman" w:hAnsi="Times New Roman" w:cs="Times New Roman"/>
          <w:i/>
          <w:iCs/>
          <w:sz w:val="28"/>
          <w:szCs w:val="28"/>
          <w:lang w:val="en-US"/>
        </w:rPr>
        <w:t xml:space="preserve"> GTGT, ….</w:t>
      </w:r>
    </w:p>
    <w:p w14:paraId="67DF04E6" w14:textId="50C849B8" w:rsidR="00527C0F" w:rsidRPr="00527C0F" w:rsidRDefault="00527C0F" w:rsidP="00527C0F">
      <w:pPr>
        <w:spacing w:line="360" w:lineRule="auto"/>
        <w:jc w:val="both"/>
        <w:rPr>
          <w:rFonts w:ascii="Times New Roman" w:eastAsia="Times New Roman" w:hAnsi="Times New Roman" w:cs="Times New Roman"/>
          <w:sz w:val="28"/>
          <w:szCs w:val="28"/>
        </w:rPr>
      </w:pPr>
    </w:p>
    <w:p w14:paraId="34462400" w14:textId="74FD49E0" w:rsidR="00527C0F" w:rsidRPr="00527C0F" w:rsidRDefault="00EA02D5" w:rsidP="00EA02D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Theo </w:t>
      </w:r>
      <w:r w:rsidR="00527C0F" w:rsidRPr="00527C0F">
        <w:rPr>
          <w:rFonts w:ascii="Times New Roman" w:eastAsia="Times New Roman" w:hAnsi="Times New Roman" w:cs="Times New Roman"/>
          <w:color w:val="000000"/>
          <w:sz w:val="28"/>
          <w:szCs w:val="28"/>
        </w:rPr>
        <w:t>Bộ Tài chính, Luật thuế GTGT số 13/2008/QH12 được thông qua ngày 3/6/2008 có hiệu lực thi hành từ ngày 01/01/2009 thay thế cho Luật thuế GTGT năm 1997 và các Luật sửa đổi, bổ sung một số điều của Luật thuế GTGT năm 2003, năm 2005 và đã được sửa đổi, bổ sung 3 lần tại Luật số 31/2013/QH13 có hiệu lực thi hành từ ngày 1/1/2014, Luật số 71/2014/QH13 có hiệu lực thi hành từ ngày 1/1/2015, Luật số 106/2016/QH13 có hiệu lực thi hành từ ngày 1/7/2016. Qua 15 năm thực hiện, Luật thuế GTGT đã đạt được các kết quả quan trọng.</w:t>
      </w:r>
      <w:r>
        <w:rPr>
          <w:rFonts w:ascii="Times New Roman" w:eastAsia="Times New Roman" w:hAnsi="Times New Roman" w:cs="Times New Roman"/>
          <w:color w:val="000000"/>
          <w:sz w:val="28"/>
          <w:szCs w:val="28"/>
          <w:lang w:val="en-US"/>
        </w:rPr>
        <w:t xml:space="preserve"> </w:t>
      </w:r>
      <w:r w:rsidR="00527C0F" w:rsidRPr="00527C0F">
        <w:rPr>
          <w:rFonts w:ascii="Times New Roman" w:eastAsia="Times New Roman" w:hAnsi="Times New Roman" w:cs="Times New Roman"/>
          <w:color w:val="000000"/>
          <w:sz w:val="28"/>
          <w:szCs w:val="28"/>
        </w:rPr>
        <w:t>Thuế GTGT tiếp tục phát huy vai trò quan trọng trong động viên vào ngân sách nhà nước (NSNN) khi đây là sắc thuế có số thu lớn nhất trong hệ thống thu NSNN của Việt Nam hiện nay. Đặc biệt trong giai đoạn hiện nay, hiệu suất thu tốt của thuế GTGT góp phần đảm bảo cân đối cơ bản cho thu chi NSNN. Ngoài ra, do được nộp vào ngân sách kịp thời (hàng tháng, hàng quý kế tiếp tháng, quý phát sinh giao dịch mua bán hàng hóa, dịch vụ) nên thuế GTGT tạo dòng tiền đều cho NSNN.</w:t>
      </w:r>
    </w:p>
    <w:p w14:paraId="0955265D" w14:textId="0EB4F071" w:rsidR="00527C0F" w:rsidRPr="00527C0F" w:rsidRDefault="00527C0F" w:rsidP="00EA02D5">
      <w:pPr>
        <w:spacing w:line="360" w:lineRule="auto"/>
        <w:ind w:firstLine="720"/>
        <w:jc w:val="both"/>
        <w:rPr>
          <w:rFonts w:ascii="Times New Roman" w:eastAsia="Times New Roman" w:hAnsi="Times New Roman" w:cs="Times New Roman"/>
          <w:color w:val="000000"/>
          <w:sz w:val="28"/>
          <w:szCs w:val="28"/>
        </w:rPr>
      </w:pPr>
      <w:r w:rsidRPr="00527C0F">
        <w:rPr>
          <w:rFonts w:ascii="Times New Roman" w:eastAsia="Times New Roman" w:hAnsi="Times New Roman" w:cs="Times New Roman"/>
          <w:color w:val="000000"/>
          <w:sz w:val="28"/>
          <w:szCs w:val="28"/>
        </w:rPr>
        <w:t>Theo thống kê, từ năm 2013 đến năm 2022, mặc dù nền kinh tế trong nước gặp nhiều khó khăn, thách thức do ảnh hưởng bởi kinh tế thế giới nhưng số thu về thuế GTGT vẫn được bảo đảm, tăng trưởng đều qua các năm và ổn định về tỷ trọng thu thuế GTGT trong tổng số thu NSNN.</w:t>
      </w:r>
      <w:r w:rsidR="00EA02D5">
        <w:rPr>
          <w:rFonts w:ascii="Times New Roman" w:eastAsia="Times New Roman" w:hAnsi="Times New Roman" w:cs="Times New Roman"/>
          <w:color w:val="000000"/>
          <w:sz w:val="28"/>
          <w:szCs w:val="28"/>
          <w:lang w:val="en-US"/>
        </w:rPr>
        <w:t xml:space="preserve"> </w:t>
      </w:r>
      <w:r w:rsidRPr="00527C0F">
        <w:rPr>
          <w:rFonts w:ascii="Times New Roman" w:eastAsia="Times New Roman" w:hAnsi="Times New Roman" w:cs="Times New Roman"/>
          <w:color w:val="000000"/>
          <w:sz w:val="28"/>
          <w:szCs w:val="28"/>
        </w:rPr>
        <w:t xml:space="preserve">Theo thống kê của cơ quan quản lý thu thì số thu về thuế GTGT luôn chiếm tỷ lệ cao trong tổng số thu NSNN cũng như chiếm tỷ lệ cao trong tổng số thu về thuế, cụ thể: Năm 2014 khoảng 26,9%, năm 2019 </w:t>
      </w:r>
      <w:r w:rsidRPr="00527C0F">
        <w:rPr>
          <w:rFonts w:ascii="Times New Roman" w:eastAsia="Times New Roman" w:hAnsi="Times New Roman" w:cs="Times New Roman"/>
          <w:color w:val="000000"/>
          <w:sz w:val="28"/>
          <w:szCs w:val="28"/>
        </w:rPr>
        <w:lastRenderedPageBreak/>
        <w:t>khoảng 23,3%, năm 2020 khoảng 22,7%, năm 2021 khoảng 23,6% (năm 2020, 2021 chịu ảnh hưởng bởi dịch COVID-19), năm 2022 khoảng 24,5%.</w:t>
      </w:r>
      <w:r w:rsidR="00EA02D5">
        <w:rPr>
          <w:rFonts w:ascii="Times New Roman" w:eastAsia="Times New Roman" w:hAnsi="Times New Roman" w:cs="Times New Roman"/>
          <w:color w:val="000000"/>
          <w:sz w:val="28"/>
          <w:szCs w:val="28"/>
          <w:lang w:val="en-US"/>
        </w:rPr>
        <w:t xml:space="preserve"> </w:t>
      </w:r>
      <w:r w:rsidRPr="00527C0F">
        <w:rPr>
          <w:rFonts w:ascii="Times New Roman" w:eastAsia="Times New Roman" w:hAnsi="Times New Roman" w:cs="Times New Roman"/>
          <w:color w:val="000000"/>
          <w:sz w:val="28"/>
          <w:szCs w:val="28"/>
        </w:rPr>
        <w:t>Bên cạnh những kết quả đạt được, trong quá trình phát triển kinh tế - xã hội và hội nhập kinh tế quốc tế, do sự biến động nhanh của kinh tế - chính trị thế giới nói chung và nền kinh tế Việt Nam nói riêng, qua triển khai thực hiện chính sách thuế GTGT cũng đã bộc lộ một số tồn tại, hạn chế.</w:t>
      </w:r>
    </w:p>
    <w:p w14:paraId="69AED0D2" w14:textId="65541316" w:rsidR="00527C0F" w:rsidRPr="00527C0F" w:rsidRDefault="00EA02D5" w:rsidP="00EA02D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Theo </w:t>
      </w:r>
      <w:r w:rsidR="00527C0F" w:rsidRPr="00527C0F">
        <w:rPr>
          <w:rFonts w:ascii="Times New Roman" w:eastAsia="Times New Roman" w:hAnsi="Times New Roman" w:cs="Times New Roman"/>
          <w:color w:val="000000"/>
          <w:sz w:val="28"/>
          <w:szCs w:val="28"/>
        </w:rPr>
        <w:t>Bộ Tài chính hiện số lượng nhóm hàng hóa, dịch vụ thuộc đối tượng không chịu thuế còn nhiều (26 nhóm) và không được khấu trừ thuế GTGT đầu vào làm tăng chi phí sản xuất của doanh nghiệp và làm tăng giá bán ra, ảnh hưởng đến các doanh nghiệp trong chuỗi cung ứng.</w:t>
      </w:r>
      <w:r>
        <w:rPr>
          <w:rFonts w:ascii="Times New Roman" w:eastAsia="Times New Roman" w:hAnsi="Times New Roman" w:cs="Times New Roman"/>
          <w:color w:val="000000"/>
          <w:sz w:val="28"/>
          <w:szCs w:val="28"/>
          <w:lang w:val="en-US"/>
        </w:rPr>
        <w:t xml:space="preserve"> </w:t>
      </w:r>
      <w:r w:rsidR="00527C0F" w:rsidRPr="00527C0F">
        <w:rPr>
          <w:rFonts w:ascii="Times New Roman" w:eastAsia="Times New Roman" w:hAnsi="Times New Roman" w:cs="Times New Roman"/>
          <w:color w:val="000000"/>
          <w:sz w:val="28"/>
          <w:szCs w:val="28"/>
        </w:rPr>
        <w:t>Việc áp dụng các mức thuế suất (hiện nay gồm 3 mức: 0%, 5% và 10%) đối với các nhóm mặt hàng còn chưa phù hợp. Đối tượng chịu thuế GTGT thuế suất 5% còn nhiều (14 nhóm hàng hóa, dịch vụ) chưa phù hợp với định hướng cải cách hệ thống thuế, tiến tới áp dụng 1 mức thuế suất phổ thông. Việc xác định thuế suất đối với một số hàng hóa dựa vào mục đích sử dụng nên gây vướng mắc cho cả cơ quan thuế và người nộp thuế.</w:t>
      </w:r>
      <w:r>
        <w:rPr>
          <w:rFonts w:ascii="Times New Roman" w:eastAsia="Times New Roman" w:hAnsi="Times New Roman" w:cs="Times New Roman"/>
          <w:color w:val="000000"/>
          <w:sz w:val="28"/>
          <w:szCs w:val="28"/>
          <w:lang w:val="en-US"/>
        </w:rPr>
        <w:t xml:space="preserve"> </w:t>
      </w:r>
      <w:r w:rsidR="00527C0F" w:rsidRPr="00527C0F">
        <w:rPr>
          <w:rFonts w:ascii="Times New Roman" w:eastAsia="Times New Roman" w:hAnsi="Times New Roman" w:cs="Times New Roman"/>
          <w:color w:val="000000"/>
          <w:sz w:val="28"/>
          <w:szCs w:val="28"/>
        </w:rPr>
        <w:t>Đối với doanh thu bán hàng hóa, dịch vụ không chịu thuế GTGT có mức từ 100 triệu đồng trở xuống/năm cần phải nghiên cứu điều chỉnh cho phù hợp mức biến động của giá và một số yếu tố khác cho phù hợp bối cảnh kinh tế - xã hội.</w:t>
      </w:r>
      <w:r>
        <w:rPr>
          <w:rFonts w:ascii="Times New Roman" w:eastAsia="Times New Roman" w:hAnsi="Times New Roman" w:cs="Times New Roman"/>
          <w:color w:val="000000"/>
          <w:sz w:val="28"/>
          <w:szCs w:val="28"/>
          <w:lang w:val="en-US"/>
        </w:rPr>
        <w:t xml:space="preserve"> </w:t>
      </w:r>
      <w:r w:rsidR="00527C0F" w:rsidRPr="00527C0F">
        <w:rPr>
          <w:rFonts w:ascii="Times New Roman" w:eastAsia="Times New Roman" w:hAnsi="Times New Roman" w:cs="Times New Roman"/>
          <w:color w:val="000000"/>
          <w:sz w:val="28"/>
          <w:szCs w:val="28"/>
        </w:rPr>
        <w:t>Quy định về giá tính thuế GTGT đối với hoạt động kinh doanh bất động sản còn có cách hiểu khác nhau giữa người nộp thuế và cơ quan thuế. Đồng thời, quy định về khấu trừ thuế GTGT đầu vào cần phải chặt chẽ hơn nữa để góp phần ngăn chặn gian lận trong khấu trừ, hoàn thuế GTGT, chống thất thu ngân sách.</w:t>
      </w:r>
    </w:p>
    <w:p w14:paraId="766CF007" w14:textId="7007519D" w:rsidR="00527C0F" w:rsidRDefault="00527C0F" w:rsidP="00EA02D5">
      <w:pPr>
        <w:spacing w:line="360" w:lineRule="auto"/>
        <w:ind w:firstLine="720"/>
        <w:jc w:val="both"/>
        <w:rPr>
          <w:rFonts w:ascii="Times New Roman" w:eastAsia="Times New Roman" w:hAnsi="Times New Roman" w:cs="Times New Roman"/>
          <w:color w:val="000000"/>
          <w:sz w:val="28"/>
          <w:szCs w:val="28"/>
        </w:rPr>
      </w:pPr>
      <w:r w:rsidRPr="00527C0F">
        <w:rPr>
          <w:rFonts w:ascii="Times New Roman" w:eastAsia="Times New Roman" w:hAnsi="Times New Roman" w:cs="Times New Roman"/>
          <w:color w:val="000000"/>
          <w:sz w:val="28"/>
          <w:szCs w:val="28"/>
        </w:rPr>
        <w:t>Bộ Tài chính</w:t>
      </w:r>
      <w:r w:rsidR="00EA02D5">
        <w:rPr>
          <w:rFonts w:ascii="Times New Roman" w:eastAsia="Times New Roman" w:hAnsi="Times New Roman" w:cs="Times New Roman"/>
          <w:color w:val="000000"/>
          <w:sz w:val="28"/>
          <w:szCs w:val="28"/>
          <w:lang w:val="en-US"/>
        </w:rPr>
        <w:t xml:space="preserve"> </w:t>
      </w:r>
      <w:proofErr w:type="spellStart"/>
      <w:r w:rsidR="00EA02D5">
        <w:rPr>
          <w:rFonts w:ascii="Times New Roman" w:eastAsia="Times New Roman" w:hAnsi="Times New Roman" w:cs="Times New Roman"/>
          <w:color w:val="000000"/>
          <w:sz w:val="28"/>
          <w:szCs w:val="28"/>
          <w:lang w:val="en-US"/>
        </w:rPr>
        <w:t>cho</w:t>
      </w:r>
      <w:proofErr w:type="spellEnd"/>
      <w:r w:rsidR="00EA02D5">
        <w:rPr>
          <w:rFonts w:ascii="Times New Roman" w:eastAsia="Times New Roman" w:hAnsi="Times New Roman" w:cs="Times New Roman"/>
          <w:color w:val="000000"/>
          <w:sz w:val="28"/>
          <w:szCs w:val="28"/>
          <w:lang w:val="en-US"/>
        </w:rPr>
        <w:t xml:space="preserve"> </w:t>
      </w:r>
      <w:proofErr w:type="spellStart"/>
      <w:r w:rsidR="00EA02D5">
        <w:rPr>
          <w:rFonts w:ascii="Times New Roman" w:eastAsia="Times New Roman" w:hAnsi="Times New Roman" w:cs="Times New Roman"/>
          <w:color w:val="000000"/>
          <w:sz w:val="28"/>
          <w:szCs w:val="28"/>
          <w:lang w:val="en-US"/>
        </w:rPr>
        <w:t>rằng</w:t>
      </w:r>
      <w:proofErr w:type="spellEnd"/>
      <w:r w:rsidRPr="00527C0F">
        <w:rPr>
          <w:rFonts w:ascii="Times New Roman" w:eastAsia="Times New Roman" w:hAnsi="Times New Roman" w:cs="Times New Roman"/>
          <w:color w:val="000000"/>
          <w:sz w:val="28"/>
          <w:szCs w:val="28"/>
        </w:rPr>
        <w:t xml:space="preserve"> cần phải nghiên cứu bổ sung quy định hoàn thuế GTGT đối với doanh nghiệp sản xuất cung ứng hàng hóa, dịch vụ chịu thuế GTGT 5% mà đầu vào chủ yếu áp dụng thuế suất 10%; nghiên cứu sửa đổi quy định về hoàn thuế đối với dự án đầu tư để xử lý bất cập phát sinh trong thực tế và tạo điều kiện cho doanh nghiệp đầu tư, đổi mới công nghệ thông qua đó tăng năng suất lao động, tăng </w:t>
      </w:r>
      <w:r w:rsidRPr="00527C0F">
        <w:rPr>
          <w:rFonts w:ascii="Times New Roman" w:eastAsia="Times New Roman" w:hAnsi="Times New Roman" w:cs="Times New Roman"/>
          <w:color w:val="000000"/>
          <w:sz w:val="28"/>
          <w:szCs w:val="28"/>
        </w:rPr>
        <w:lastRenderedPageBreak/>
        <w:t>khả năng cạnh tranh của doanh nghiệp.</w:t>
      </w:r>
      <w:r w:rsidR="00EA02D5">
        <w:rPr>
          <w:rFonts w:ascii="Times New Roman" w:eastAsia="Times New Roman" w:hAnsi="Times New Roman" w:cs="Times New Roman"/>
          <w:color w:val="000000"/>
          <w:sz w:val="28"/>
          <w:szCs w:val="28"/>
          <w:lang w:val="en-US"/>
        </w:rPr>
        <w:t xml:space="preserve"> </w:t>
      </w:r>
      <w:r w:rsidRPr="00527C0F">
        <w:rPr>
          <w:rFonts w:ascii="Times New Roman" w:eastAsia="Times New Roman" w:hAnsi="Times New Roman" w:cs="Times New Roman"/>
          <w:color w:val="000000"/>
          <w:sz w:val="28"/>
          <w:szCs w:val="28"/>
        </w:rPr>
        <w:t>Do vậy, cần thiết phải ban hành Luật thuế GTGT (sửa đổi) nhằm hoàn thiện quy định về chính sách thuế GTGT để bao quát toàn bộ các nguồn thu, mở rộng cơ sở thu; bảo đảm tính minh bạch, dễ hiểu, dễ thực hiện Luật để góp phần nâng cao năng lực và hiệu quả của hoạt động quản lý thuế trong phòng, chống trốn thuế, thất thu và nợ thuế; đảm bảo thu đúng thu đủ vào NSNN, đảm bảo ổn định nguồn thu NSNN.</w:t>
      </w:r>
      <w:r w:rsidR="00EA02D5">
        <w:rPr>
          <w:rFonts w:ascii="Times New Roman" w:eastAsia="Times New Roman" w:hAnsi="Times New Roman" w:cs="Times New Roman"/>
          <w:color w:val="000000"/>
          <w:sz w:val="28"/>
          <w:szCs w:val="28"/>
          <w:lang w:val="en-US"/>
        </w:rPr>
        <w:t xml:space="preserve"> </w:t>
      </w:r>
      <w:r w:rsidRPr="00527C0F">
        <w:rPr>
          <w:rFonts w:ascii="Times New Roman" w:eastAsia="Times New Roman" w:hAnsi="Times New Roman" w:cs="Times New Roman"/>
          <w:color w:val="000000"/>
          <w:sz w:val="28"/>
          <w:szCs w:val="28"/>
        </w:rPr>
        <w:t>Đồng thời khắc phục các vướng mắc phát sinh trong quá trình thực hiện Luật thuế GTGT thời gian qua; tháo gỡ bất cập, chồng chéo trong hệ thống pháp luật thuế GTGT và bảo đảm tính thống nhất, đồng bộ với các pháp luật liên quan; bảo đảm tính khả thi, minh bạch và thuận lợi cho tổ chức thực hiện, khơi thông, phát huy nguồn lực cho phát triển kinh tế - xã hội. Sửa đổi, bổ sung những quy định nhằm phù hợp với xu hướng cải cách thuế của quốc tế.</w:t>
      </w:r>
    </w:p>
    <w:p w14:paraId="63D2E8EC" w14:textId="505F5A2C" w:rsidR="00EA02D5" w:rsidRPr="00527C0F" w:rsidRDefault="00EA02D5" w:rsidP="00EA02D5">
      <w:pPr>
        <w:spacing w:line="360" w:lineRule="auto"/>
        <w:jc w:val="both"/>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lang w:val="en-US"/>
        </w:rPr>
        <w:t>Kết</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luận</w:t>
      </w:r>
      <w:proofErr w:type="spellEnd"/>
    </w:p>
    <w:p w14:paraId="0EF562AD" w14:textId="0E9DC287" w:rsidR="00580E85" w:rsidRDefault="00EA02D5" w:rsidP="00EA02D5">
      <w:pPr>
        <w:spacing w:line="360" w:lineRule="auto"/>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t>Vậy</w:t>
      </w:r>
      <w:proofErr w:type="spellEnd"/>
      <w:r>
        <w:rPr>
          <w:rFonts w:ascii="Times New Roman" w:eastAsia="Times New Roman" w:hAnsi="Times New Roman" w:cs="Times New Roman"/>
          <w:color w:val="000000"/>
          <w:sz w:val="28"/>
          <w:szCs w:val="28"/>
          <w:lang w:val="en-US"/>
        </w:rPr>
        <w:t xml:space="preserve"> d</w:t>
      </w:r>
      <w:r w:rsidR="00527C0F" w:rsidRPr="00527C0F">
        <w:rPr>
          <w:rFonts w:ascii="Times New Roman" w:eastAsia="Times New Roman" w:hAnsi="Times New Roman" w:cs="Times New Roman"/>
          <w:color w:val="000000"/>
          <w:sz w:val="28"/>
          <w:szCs w:val="28"/>
        </w:rPr>
        <w:t>ự thảo Luật Thuế GTGT (sửa đổi) cũng đã đổi mới các nội dung và các điều luật theo hướng gia tăng các quy định, luật hóa các quy định đã thực hiện ổn định tại văn bản dưới luật nhằm cải cách thủ tục hành chính; cải cách thủ tục quản lý thuế theo hướng đơn giản, rõ ràng, công khai, thuận tiện, thống nhất, ổn định chính sách, thực hiện quản lý thuế điện tử, bảo vệ quyền lợi người nộp thuế, tạo môi trường thuận lợi cho người nộp thuế tuân thủ pháp luật về thuế, tự giác nộp đúng, đủ, kịp thời tiền thuế vào NSNN.</w:t>
      </w:r>
    </w:p>
    <w:p w14:paraId="553C776E" w14:textId="25A5C364" w:rsidR="00EA02D5" w:rsidRDefault="00EA02D5" w:rsidP="00EA02D5">
      <w:pPr>
        <w:spacing w:line="360" w:lineRule="auto"/>
        <w:jc w:val="both"/>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lang w:val="en-US"/>
        </w:rPr>
        <w:t>Tài</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liệu</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tham</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khảo</w:t>
      </w:r>
      <w:proofErr w:type="spellEnd"/>
    </w:p>
    <w:p w14:paraId="6345A333" w14:textId="63BE1634" w:rsidR="00EA02D5" w:rsidRPr="000E7153" w:rsidRDefault="000E7153" w:rsidP="000E7153">
      <w:pPr>
        <w:pStyle w:val="ListParagraph"/>
        <w:numPr>
          <w:ilvl w:val="0"/>
          <w:numId w:val="1"/>
        </w:numPr>
        <w:spacing w:line="360" w:lineRule="auto"/>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Dự</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thảo</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Luật</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thuế</w:t>
      </w:r>
      <w:proofErr w:type="spellEnd"/>
      <w:r>
        <w:rPr>
          <w:rFonts w:ascii="Times New Roman" w:eastAsia="Times New Roman" w:hAnsi="Times New Roman" w:cs="Times New Roman"/>
          <w:color w:val="000000"/>
          <w:sz w:val="28"/>
          <w:szCs w:val="28"/>
          <w:lang w:val="en-US"/>
        </w:rPr>
        <w:t xml:space="preserve"> GTGT </w:t>
      </w:r>
      <w:proofErr w:type="spellStart"/>
      <w:r>
        <w:rPr>
          <w:rFonts w:ascii="Times New Roman" w:eastAsia="Times New Roman" w:hAnsi="Times New Roman" w:cs="Times New Roman"/>
          <w:color w:val="000000"/>
          <w:sz w:val="28"/>
          <w:szCs w:val="28"/>
          <w:lang w:val="en-US"/>
        </w:rPr>
        <w:t>của</w:t>
      </w:r>
      <w:proofErr w:type="spellEnd"/>
      <w:r>
        <w:rPr>
          <w:rFonts w:ascii="Times New Roman" w:eastAsia="Times New Roman" w:hAnsi="Times New Roman" w:cs="Times New Roman"/>
          <w:color w:val="000000"/>
          <w:sz w:val="28"/>
          <w:szCs w:val="28"/>
          <w:lang w:val="en-US"/>
        </w:rPr>
        <w:t xml:space="preserve"> BTC</w:t>
      </w:r>
    </w:p>
    <w:p w14:paraId="7BAE4080" w14:textId="77777777" w:rsidR="00EA02D5" w:rsidRPr="00EA02D5" w:rsidRDefault="00EA02D5" w:rsidP="00EA02D5">
      <w:pPr>
        <w:spacing w:line="360" w:lineRule="auto"/>
        <w:jc w:val="both"/>
        <w:rPr>
          <w:rFonts w:ascii="Times New Roman" w:eastAsia="Times New Roman" w:hAnsi="Times New Roman" w:cs="Times New Roman"/>
          <w:b/>
          <w:bCs/>
          <w:color w:val="000000"/>
          <w:sz w:val="28"/>
          <w:szCs w:val="28"/>
          <w:lang w:val="en-US"/>
        </w:rPr>
      </w:pPr>
    </w:p>
    <w:sectPr w:rsidR="00EA02D5" w:rsidRPr="00EA02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4374D"/>
    <w:multiLevelType w:val="hybridMultilevel"/>
    <w:tmpl w:val="ABDA7D34"/>
    <w:lvl w:ilvl="0" w:tplc="B3D4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26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0F"/>
    <w:rsid w:val="00041F3A"/>
    <w:rsid w:val="000474B9"/>
    <w:rsid w:val="000C59D5"/>
    <w:rsid w:val="000E7153"/>
    <w:rsid w:val="0010671A"/>
    <w:rsid w:val="0016110D"/>
    <w:rsid w:val="00195813"/>
    <w:rsid w:val="001B6843"/>
    <w:rsid w:val="001E58CC"/>
    <w:rsid w:val="002328B0"/>
    <w:rsid w:val="00286658"/>
    <w:rsid w:val="002D4A66"/>
    <w:rsid w:val="002F2371"/>
    <w:rsid w:val="003678C0"/>
    <w:rsid w:val="00401A0F"/>
    <w:rsid w:val="004242BB"/>
    <w:rsid w:val="004452D0"/>
    <w:rsid w:val="004553A3"/>
    <w:rsid w:val="0047242F"/>
    <w:rsid w:val="00527C0F"/>
    <w:rsid w:val="00580E85"/>
    <w:rsid w:val="00666E1A"/>
    <w:rsid w:val="00686800"/>
    <w:rsid w:val="006926AA"/>
    <w:rsid w:val="00720319"/>
    <w:rsid w:val="0073187D"/>
    <w:rsid w:val="00785B6D"/>
    <w:rsid w:val="00793A00"/>
    <w:rsid w:val="00797B09"/>
    <w:rsid w:val="00817CB7"/>
    <w:rsid w:val="00827978"/>
    <w:rsid w:val="00846DC7"/>
    <w:rsid w:val="00862CB2"/>
    <w:rsid w:val="00917307"/>
    <w:rsid w:val="00976A3A"/>
    <w:rsid w:val="009E4343"/>
    <w:rsid w:val="00A06B7A"/>
    <w:rsid w:val="00A07166"/>
    <w:rsid w:val="00A71C94"/>
    <w:rsid w:val="00A92D12"/>
    <w:rsid w:val="00A951D4"/>
    <w:rsid w:val="00AC4D4A"/>
    <w:rsid w:val="00AD5804"/>
    <w:rsid w:val="00AE02BD"/>
    <w:rsid w:val="00AE7EBF"/>
    <w:rsid w:val="00B16818"/>
    <w:rsid w:val="00B35F26"/>
    <w:rsid w:val="00B47BB5"/>
    <w:rsid w:val="00BA50D0"/>
    <w:rsid w:val="00BB0543"/>
    <w:rsid w:val="00BF0E89"/>
    <w:rsid w:val="00BF5EAA"/>
    <w:rsid w:val="00C20AC2"/>
    <w:rsid w:val="00C624D7"/>
    <w:rsid w:val="00CB447D"/>
    <w:rsid w:val="00D022E4"/>
    <w:rsid w:val="00D42B29"/>
    <w:rsid w:val="00D60653"/>
    <w:rsid w:val="00DA715E"/>
    <w:rsid w:val="00E02F40"/>
    <w:rsid w:val="00EA02D5"/>
    <w:rsid w:val="00EE1289"/>
    <w:rsid w:val="00F0117A"/>
    <w:rsid w:val="00F56EC2"/>
    <w:rsid w:val="00FB2E8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2D8B"/>
  <w15:chartTrackingRefBased/>
  <w15:docId w15:val="{12F8653F-11D0-F246-9118-4E9F710F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7C0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7C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C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7C0F"/>
    <w:rPr>
      <w:rFonts w:ascii="Times New Roman" w:eastAsia="Times New Roman" w:hAnsi="Times New Roman" w:cs="Times New Roman"/>
      <w:b/>
      <w:bCs/>
      <w:sz w:val="36"/>
      <w:szCs w:val="36"/>
    </w:rPr>
  </w:style>
  <w:style w:type="character" w:customStyle="1" w:styleId="detailauthor">
    <w:name w:val="detail__author"/>
    <w:basedOn w:val="DefaultParagraphFont"/>
    <w:rsid w:val="00527C0F"/>
  </w:style>
  <w:style w:type="character" w:customStyle="1" w:styleId="apple-converted-space">
    <w:name w:val="apple-converted-space"/>
    <w:basedOn w:val="DefaultParagraphFont"/>
    <w:rsid w:val="00527C0F"/>
  </w:style>
  <w:style w:type="paragraph" w:styleId="NormalWeb">
    <w:name w:val="Normal (Web)"/>
    <w:basedOn w:val="Normal"/>
    <w:uiPriority w:val="99"/>
    <w:semiHidden/>
    <w:unhideWhenUsed/>
    <w:rsid w:val="00527C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27C0F"/>
    <w:rPr>
      <w:b/>
      <w:bCs/>
    </w:rPr>
  </w:style>
  <w:style w:type="paragraph" w:styleId="ListParagraph">
    <w:name w:val="List Paragraph"/>
    <w:basedOn w:val="Normal"/>
    <w:uiPriority w:val="34"/>
    <w:qFormat/>
    <w:rsid w:val="000E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1764">
      <w:bodyDiv w:val="1"/>
      <w:marLeft w:val="0"/>
      <w:marRight w:val="0"/>
      <w:marTop w:val="0"/>
      <w:marBottom w:val="0"/>
      <w:divBdr>
        <w:top w:val="none" w:sz="0" w:space="0" w:color="auto"/>
        <w:left w:val="none" w:sz="0" w:space="0" w:color="auto"/>
        <w:bottom w:val="none" w:sz="0" w:space="0" w:color="auto"/>
        <w:right w:val="none" w:sz="0" w:space="0" w:color="auto"/>
      </w:divBdr>
      <w:divsChild>
        <w:div w:id="15230386">
          <w:marLeft w:val="0"/>
          <w:marRight w:val="0"/>
          <w:marTop w:val="0"/>
          <w:marBottom w:val="0"/>
          <w:divBdr>
            <w:top w:val="none" w:sz="0" w:space="0" w:color="auto"/>
            <w:left w:val="none" w:sz="0" w:space="0" w:color="auto"/>
            <w:bottom w:val="none" w:sz="0" w:space="0" w:color="auto"/>
            <w:right w:val="none" w:sz="0" w:space="0" w:color="auto"/>
          </w:divBdr>
        </w:div>
        <w:div w:id="195620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3</cp:revision>
  <dcterms:created xsi:type="dcterms:W3CDTF">2024-01-16T01:16:00Z</dcterms:created>
  <dcterms:modified xsi:type="dcterms:W3CDTF">2024-01-16T01:32:00Z</dcterms:modified>
</cp:coreProperties>
</file>