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12" w:rsidRPr="00C53BF6" w:rsidRDefault="00C74A90" w:rsidP="00C53BF6">
      <w:pPr>
        <w:pStyle w:val="NormalWeb"/>
        <w:spacing w:before="0" w:beforeAutospacing="0" w:after="0" w:afterAutospacing="0" w:line="360" w:lineRule="auto"/>
        <w:rPr>
          <w:b/>
          <w:sz w:val="26"/>
          <w:szCs w:val="26"/>
        </w:rPr>
      </w:pPr>
      <w:r w:rsidRPr="00C53BF6">
        <w:rPr>
          <w:b/>
          <w:sz w:val="26"/>
          <w:szCs w:val="26"/>
        </w:rPr>
        <w:t>TỶ LỆ THANH TOÁN TRỰC TIẾP CHI PHÍ KHÁM, CHỮA BỆNH KHI MỨC LƯƠNG CƠ SỞ TĂNG</w:t>
      </w:r>
    </w:p>
    <w:p w:rsidR="00C74A90" w:rsidRPr="00C53BF6" w:rsidRDefault="00C74A90" w:rsidP="00C53BF6">
      <w:pPr>
        <w:pStyle w:val="NormalWeb"/>
        <w:spacing w:before="0" w:beforeAutospacing="0" w:after="0" w:afterAutospacing="0" w:line="360" w:lineRule="auto"/>
        <w:ind w:left="2880" w:firstLine="720"/>
        <w:rPr>
          <w:b/>
          <w:sz w:val="26"/>
          <w:szCs w:val="26"/>
        </w:rPr>
      </w:pPr>
      <w:r w:rsidRPr="00C53BF6">
        <w:rPr>
          <w:b/>
          <w:sz w:val="26"/>
          <w:szCs w:val="26"/>
        </w:rPr>
        <w:t>ThS. Mai Thị Quỳnh Như _ Khoa Kế toán</w:t>
      </w:r>
    </w:p>
    <w:p w:rsidR="005A2746" w:rsidRPr="00C53BF6" w:rsidRDefault="00CB0612" w:rsidP="00C53BF6">
      <w:pPr>
        <w:pStyle w:val="NormalWeb"/>
        <w:spacing w:before="0" w:beforeAutospacing="0" w:after="0" w:afterAutospacing="0" w:line="360" w:lineRule="auto"/>
        <w:jc w:val="both"/>
        <w:rPr>
          <w:sz w:val="26"/>
          <w:szCs w:val="26"/>
        </w:rPr>
      </w:pPr>
      <w:r w:rsidRPr="00C53BF6">
        <w:rPr>
          <w:sz w:val="26"/>
          <w:szCs w:val="26"/>
        </w:rPr>
        <w:t>Khi lương cơ sở tăng, mức thanh toán trực tiếp cho chi phí khám, chữa bệnh cũng chịu nhiều tác động đáng kể. Lương cơ sở là yếu tố quan trọng trong việc xác định các mức trợ cấp và quyền lợi về bảo hiểm y tế, trực tiếp ảnh hưởng đến chi phí mà người dân phải chi trả khi sử dụng dịch vụ y tế. Trong bối cảnh giá cả sinh hoạt và nhu cầu chăm sóc sức khỏe ngày càng tăng, việc điều chỉnh lương cơ sở không chỉ nâng cao thu nhập mà còn có thể tác động tích cực đến khả năng tiếp cận dịch vụ y tế của người dân. Tuy nhiên, câu hỏi đặt ra là: lương cơ sở tăng sẽ ảnh hưởng thế nào đến tỷ lệ và mức chi trả trực tiếp của người dân khi khám, chữa bệnh? Thông qua nội dung này, chúng ta sẽ xem xét các khía cạnh liên quan đến sự điều chỉnh này nhằm hiểu rõ hơn về tác động của lương cơ sở đến chi phí y tế cá nhân.</w:t>
      </w:r>
    </w:p>
    <w:p w:rsidR="00C74A90" w:rsidRPr="004C48BB" w:rsidRDefault="00C74A90" w:rsidP="00C53BF6">
      <w:pPr>
        <w:pStyle w:val="NormalWeb"/>
        <w:spacing w:before="0" w:beforeAutospacing="0" w:after="0" w:afterAutospacing="0" w:line="360" w:lineRule="auto"/>
        <w:rPr>
          <w:b/>
          <w:sz w:val="26"/>
          <w:szCs w:val="26"/>
        </w:rPr>
      </w:pPr>
      <w:r w:rsidRPr="004C48BB">
        <w:rPr>
          <w:b/>
          <w:sz w:val="26"/>
          <w:szCs w:val="26"/>
        </w:rPr>
        <w:t>1. Mức thanh toán chi phí khám chữa bệnh khi lương cơ sở tăng</w:t>
      </w:r>
    </w:p>
    <w:p w:rsidR="00C74A90" w:rsidRPr="00C53BF6" w:rsidRDefault="005A2746" w:rsidP="00C53BF6">
      <w:pPr>
        <w:pStyle w:val="NormalWeb"/>
        <w:spacing w:before="0" w:beforeAutospacing="0" w:after="0" w:afterAutospacing="0" w:line="360" w:lineRule="auto"/>
        <w:jc w:val="both"/>
        <w:rPr>
          <w:sz w:val="26"/>
          <w:szCs w:val="26"/>
        </w:rPr>
      </w:pPr>
      <w:r w:rsidRPr="00C53BF6">
        <w:rPr>
          <w:sz w:val="26"/>
          <w:szCs w:val="26"/>
        </w:rPr>
        <w:t>Ngày 01/7 vừa qua, Bộ Y tế ban hành Công văn 3687/BYT-BH, chính thức áp dụng mức lương cơ sở mới là 2.340.000 đồng/tháng (theo Nghị định 73/2024/NĐ-CP) trong thanh toán chi phí khám, chữa bệnh (KCB) theo bảo hiểm y tế (BHYT). Việc điều chỉnh này đặt mục tiêu hỗ trợ người tham gia BHYT với mức thanh toán cụ thể cho từng loại hình KCB và chi phí vật tư y tế, nhằm đảm bảo quyền lợi cho người dân trong bối cảnh lương cơ sở tăng.</w:t>
      </w:r>
    </w:p>
    <w:p w:rsidR="003E5291" w:rsidRDefault="003E5291" w:rsidP="00C53BF6">
      <w:pPr>
        <w:pStyle w:val="NormalWeb"/>
        <w:spacing w:before="0" w:beforeAutospacing="0" w:after="0" w:afterAutospacing="0" w:line="360" w:lineRule="auto"/>
        <w:jc w:val="both"/>
        <w:rPr>
          <w:color w:val="000000"/>
          <w:sz w:val="26"/>
          <w:szCs w:val="26"/>
        </w:rPr>
      </w:pPr>
      <w:r w:rsidRPr="00C53BF6">
        <w:rPr>
          <w:color w:val="000000"/>
          <w:sz w:val="26"/>
          <w:szCs w:val="26"/>
        </w:rPr>
        <w:t xml:space="preserve">Về mức thanh toán trực tiếp theo quy định tại Điều 30 </w:t>
      </w:r>
      <w:hyperlink r:id="rId5" w:anchor="dieu_30" w:tgtFrame="_blank" w:history="1">
        <w:r w:rsidRPr="00C53BF6">
          <w:rPr>
            <w:sz w:val="26"/>
            <w:szCs w:val="26"/>
          </w:rPr>
          <w:t>Nghị định 146/2018/NĐ-CP</w:t>
        </w:r>
      </w:hyperlink>
      <w:r w:rsidRPr="00C53BF6">
        <w:rPr>
          <w:sz w:val="26"/>
          <w:szCs w:val="26"/>
        </w:rPr>
        <w:t xml:space="preserve"> </w:t>
      </w:r>
      <w:r w:rsidRPr="00C53BF6">
        <w:rPr>
          <w:color w:val="000000"/>
          <w:sz w:val="26"/>
          <w:szCs w:val="26"/>
        </w:rPr>
        <w:t>từ 01/7/2024 hoặc trường hợp người bệnh vào viện hoặc bắt đầu đợt điều trị trước ngày 01/7/2024 nhưng ra viện hoặc kết thúc đợt điều trị từ ngày 01/7/2024 như sau:</w:t>
      </w:r>
    </w:p>
    <w:p w:rsidR="004C48BB" w:rsidRDefault="004C48BB" w:rsidP="00C53BF6">
      <w:pPr>
        <w:pStyle w:val="NormalWeb"/>
        <w:spacing w:before="0" w:beforeAutospacing="0" w:after="0" w:afterAutospacing="0" w:line="360" w:lineRule="auto"/>
        <w:jc w:val="both"/>
        <w:rPr>
          <w:color w:val="000000"/>
          <w:sz w:val="26"/>
          <w:szCs w:val="26"/>
        </w:rPr>
      </w:pPr>
    </w:p>
    <w:p w:rsidR="004C48BB" w:rsidRDefault="004C48BB" w:rsidP="00C53BF6">
      <w:pPr>
        <w:pStyle w:val="NormalWeb"/>
        <w:spacing w:before="0" w:beforeAutospacing="0" w:after="0" w:afterAutospacing="0" w:line="360" w:lineRule="auto"/>
        <w:jc w:val="both"/>
        <w:rPr>
          <w:color w:val="000000"/>
          <w:sz w:val="26"/>
          <w:szCs w:val="26"/>
        </w:rPr>
      </w:pPr>
    </w:p>
    <w:p w:rsidR="004C48BB" w:rsidRDefault="004C48BB" w:rsidP="00C53BF6">
      <w:pPr>
        <w:pStyle w:val="NormalWeb"/>
        <w:spacing w:before="0" w:beforeAutospacing="0" w:after="0" w:afterAutospacing="0" w:line="360" w:lineRule="auto"/>
        <w:jc w:val="both"/>
        <w:rPr>
          <w:color w:val="000000"/>
          <w:sz w:val="26"/>
          <w:szCs w:val="26"/>
        </w:rPr>
      </w:pPr>
    </w:p>
    <w:p w:rsidR="004C48BB" w:rsidRPr="00C53BF6" w:rsidRDefault="004C48BB" w:rsidP="00C53BF6">
      <w:pPr>
        <w:pStyle w:val="NormalWeb"/>
        <w:spacing w:before="0" w:beforeAutospacing="0" w:after="0" w:afterAutospacing="0" w:line="360" w:lineRule="auto"/>
        <w:jc w:val="both"/>
        <w:rPr>
          <w:sz w:val="26"/>
          <w:szCs w:val="26"/>
        </w:rPr>
      </w:pPr>
    </w:p>
    <w:tbl>
      <w:tblPr>
        <w:tblW w:w="0" w:type="auto"/>
        <w:tblCellMar>
          <w:left w:w="0" w:type="dxa"/>
          <w:right w:w="0" w:type="dxa"/>
        </w:tblCellMar>
        <w:tblLook w:val="04A0" w:firstRow="1" w:lastRow="0" w:firstColumn="1" w:lastColumn="0" w:noHBand="0" w:noVBand="1"/>
      </w:tblPr>
      <w:tblGrid>
        <w:gridCol w:w="6558"/>
        <w:gridCol w:w="2782"/>
      </w:tblGrid>
      <w:tr w:rsidR="003E5291" w:rsidRPr="00C53BF6" w:rsidTr="004C48BB">
        <w:trPr>
          <w:trHeight w:val="600"/>
        </w:trPr>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3E5291" w:rsidRPr="00C53BF6" w:rsidRDefault="003E5291" w:rsidP="00C53BF6">
            <w:pPr>
              <w:spacing w:after="0" w:line="360" w:lineRule="auto"/>
              <w:jc w:val="center"/>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b/>
                <w:bCs/>
                <w:color w:val="000000"/>
                <w:kern w:val="0"/>
                <w:sz w:val="26"/>
                <w:szCs w:val="26"/>
                <w14:ligatures w14:val="none"/>
              </w:rPr>
              <w:lastRenderedPageBreak/>
              <w:t>Trường hợp </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3E5291" w:rsidRPr="00C53BF6" w:rsidRDefault="003E5291" w:rsidP="00C53BF6">
            <w:pPr>
              <w:spacing w:after="0" w:line="360" w:lineRule="auto"/>
              <w:jc w:val="center"/>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b/>
                <w:bCs/>
                <w:color w:val="000000"/>
                <w:kern w:val="0"/>
                <w:sz w:val="26"/>
                <w:szCs w:val="26"/>
                <w14:ligatures w14:val="none"/>
              </w:rPr>
              <w:t>Mức thanh toán trực tiếp BHYT </w:t>
            </w:r>
          </w:p>
        </w:tc>
      </w:tr>
      <w:tr w:rsidR="00AA2BA9" w:rsidRPr="00C53BF6" w:rsidTr="003E5291">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Trường hợp khám bệnh, chữa bệnh </w:t>
            </w:r>
            <w:r w:rsidRPr="00C53BF6">
              <w:rPr>
                <w:rFonts w:ascii="Times New Roman" w:eastAsia="Times New Roman" w:hAnsi="Times New Roman" w:cs="Times New Roman"/>
                <w:bCs/>
                <w:kern w:val="0"/>
                <w:sz w:val="26"/>
                <w:szCs w:val="26"/>
                <w14:ligatures w14:val="none"/>
              </w:rPr>
              <w:t>ngoại trú,</w:t>
            </w:r>
            <w:r w:rsidRPr="00C53BF6">
              <w:rPr>
                <w:rFonts w:ascii="Times New Roman" w:eastAsia="Times New Roman" w:hAnsi="Times New Roman" w:cs="Times New Roman"/>
                <w:kern w:val="0"/>
                <w:sz w:val="26"/>
                <w:szCs w:val="26"/>
                <w14:ligatures w14:val="none"/>
              </w:rPr>
              <w:t xml:space="preserve"> thanh toán theo chi phí thực tế trong phạm vi được hưởng và mức hưởng bảo hiểm y tế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Tối đa không quá 0,15 lần mức lương cơ sở: tương đương tối đa </w:t>
            </w:r>
            <w:r w:rsidRPr="00C53BF6">
              <w:rPr>
                <w:rFonts w:ascii="Times New Roman" w:eastAsia="Times New Roman" w:hAnsi="Times New Roman" w:cs="Times New Roman"/>
                <w:bCs/>
                <w:kern w:val="0"/>
                <w:sz w:val="26"/>
                <w:szCs w:val="26"/>
                <w14:ligatures w14:val="none"/>
              </w:rPr>
              <w:t>không quá 351.000 đồng </w:t>
            </w:r>
          </w:p>
        </w:tc>
      </w:tr>
      <w:tr w:rsidR="00AA2BA9" w:rsidRPr="00C53BF6" w:rsidTr="003E5291">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Trường hợp khám bệnh, chữa bệnh </w:t>
            </w:r>
            <w:r w:rsidRPr="00C53BF6">
              <w:rPr>
                <w:rFonts w:ascii="Times New Roman" w:eastAsia="Times New Roman" w:hAnsi="Times New Roman" w:cs="Times New Roman"/>
                <w:bCs/>
                <w:kern w:val="0"/>
                <w:sz w:val="26"/>
                <w:szCs w:val="26"/>
                <w14:ligatures w14:val="none"/>
              </w:rPr>
              <w:t>nội trú,</w:t>
            </w:r>
            <w:r w:rsidRPr="00C53BF6">
              <w:rPr>
                <w:rFonts w:ascii="Times New Roman" w:eastAsia="Times New Roman" w:hAnsi="Times New Roman" w:cs="Times New Roman"/>
                <w:kern w:val="0"/>
                <w:sz w:val="26"/>
                <w:szCs w:val="26"/>
                <w14:ligatures w14:val="none"/>
              </w:rPr>
              <w:t xml:space="preserve"> thanh toán theo chi phí thực tế trong phạm vi được hưởng và mức hưởng bảo hiểm y tế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Tối đa không quá 0,15 lần mức lương cơ sở: </w:t>
            </w:r>
            <w:r w:rsidRPr="00C53BF6">
              <w:rPr>
                <w:rFonts w:ascii="Times New Roman" w:eastAsia="Times New Roman" w:hAnsi="Times New Roman" w:cs="Times New Roman"/>
                <w:bCs/>
                <w:kern w:val="0"/>
                <w:sz w:val="26"/>
                <w:szCs w:val="26"/>
                <w14:ligatures w14:val="none"/>
              </w:rPr>
              <w:t>tương đương tối đa không quá 351.000 đồng </w:t>
            </w:r>
          </w:p>
        </w:tc>
      </w:tr>
      <w:tr w:rsidR="00AA2BA9" w:rsidRPr="00C53BF6" w:rsidTr="003E5291">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Trường hợp người bệnh đến khám bệnh, chữa bệnh</w:t>
            </w:r>
            <w:r w:rsidRPr="00C53BF6">
              <w:rPr>
                <w:rFonts w:ascii="Times New Roman" w:eastAsia="Times New Roman" w:hAnsi="Times New Roman" w:cs="Times New Roman"/>
                <w:bCs/>
                <w:kern w:val="0"/>
                <w:sz w:val="26"/>
                <w:szCs w:val="26"/>
                <w14:ligatures w14:val="none"/>
              </w:rPr>
              <w:t xml:space="preserve"> nội trú tại cơ sở khám bệnh, chữa bệnh tuyến tỉnh và tương đương không có hợp đồng khám bệnh, chữa bệnh bảo hiểm y tế</w:t>
            </w:r>
            <w:r w:rsidRPr="00C53BF6">
              <w:rPr>
                <w:rFonts w:ascii="Times New Roman" w:eastAsia="Times New Roman" w:hAnsi="Times New Roman" w:cs="Times New Roman"/>
                <w:kern w:val="0"/>
                <w:sz w:val="26"/>
                <w:szCs w:val="26"/>
                <w14:ligatures w14:val="none"/>
              </w:rPr>
              <w:t xml:space="preserve"> (trừ trường hợp cấp cứu), thanh toán theo chi phí thực tế trong phạm vi được hưởng và mức hưởng bảo hiểm y tế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Tối đa không quá 1,0 lần mức lương cơ sở:</w:t>
            </w:r>
            <w:r w:rsidRPr="00C53BF6">
              <w:rPr>
                <w:rFonts w:ascii="Times New Roman" w:eastAsia="Times New Roman" w:hAnsi="Times New Roman" w:cs="Times New Roman"/>
                <w:bCs/>
                <w:kern w:val="0"/>
                <w:sz w:val="26"/>
                <w:szCs w:val="26"/>
                <w14:ligatures w14:val="none"/>
              </w:rPr>
              <w:t xml:space="preserve"> tương đương tối đa không quá 2.340.000 đồng </w:t>
            </w:r>
          </w:p>
        </w:tc>
      </w:tr>
      <w:tr w:rsidR="00AA2BA9" w:rsidRPr="00C53BF6" w:rsidTr="003E5291">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Trường hợp người bệnh đến khám bệnh, chữa bệnh </w:t>
            </w:r>
            <w:r w:rsidRPr="00C53BF6">
              <w:rPr>
                <w:rFonts w:ascii="Times New Roman" w:eastAsia="Times New Roman" w:hAnsi="Times New Roman" w:cs="Times New Roman"/>
                <w:bCs/>
                <w:kern w:val="0"/>
                <w:sz w:val="26"/>
                <w:szCs w:val="26"/>
                <w14:ligatures w14:val="none"/>
              </w:rPr>
              <w:t>nội trú tại cơ sở khám bệnh, chữa bệnh tuyến trung ương và tương đương không có hợp đồng khám bệnh, chữa bệnh bảo hiểm y tế</w:t>
            </w:r>
            <w:r w:rsidRPr="00C53BF6">
              <w:rPr>
                <w:rFonts w:ascii="Times New Roman" w:eastAsia="Times New Roman" w:hAnsi="Times New Roman" w:cs="Times New Roman"/>
                <w:kern w:val="0"/>
                <w:sz w:val="26"/>
                <w:szCs w:val="26"/>
                <w14:ligatures w14:val="none"/>
              </w:rPr>
              <w:t xml:space="preserve"> (trừ trường hợp cấp cứu), thanh toán theo chi phí thực tế trong phạm vi được hưởng và mức hưởng bảo hiểm y tế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Tối đa không quá 2,5 lần mức lương cơ sở: </w:t>
            </w:r>
            <w:r w:rsidRPr="00C53BF6">
              <w:rPr>
                <w:rFonts w:ascii="Times New Roman" w:eastAsia="Times New Roman" w:hAnsi="Times New Roman" w:cs="Times New Roman"/>
                <w:bCs/>
                <w:kern w:val="0"/>
                <w:sz w:val="26"/>
                <w:szCs w:val="26"/>
                <w14:ligatures w14:val="none"/>
              </w:rPr>
              <w:t>tương đương tối đa không quá 5.850.000 đồng</w:t>
            </w:r>
          </w:p>
        </w:tc>
      </w:tr>
    </w:tbl>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Từ ngày 01 tháng 7 năm 2024, </w:t>
      </w:r>
      <w:r w:rsidRPr="00C53BF6">
        <w:rPr>
          <w:rFonts w:ascii="Times New Roman" w:eastAsia="Times New Roman" w:hAnsi="Times New Roman" w:cs="Times New Roman"/>
          <w:bCs/>
          <w:kern w:val="0"/>
          <w:sz w:val="26"/>
          <w:szCs w:val="26"/>
          <w14:ligatures w14:val="none"/>
        </w:rPr>
        <w:t xml:space="preserve">mức lương cơ sở là 2.340.000 </w:t>
      </w:r>
      <w:r w:rsidRPr="00C53BF6">
        <w:rPr>
          <w:rFonts w:ascii="Times New Roman" w:eastAsia="Times New Roman" w:hAnsi="Times New Roman" w:cs="Times New Roman"/>
          <w:kern w:val="0"/>
          <w:sz w:val="26"/>
          <w:szCs w:val="26"/>
          <w14:ligatures w14:val="none"/>
        </w:rPr>
        <w:t xml:space="preserve">đồng/tháng theo khoản 2 Điều 3 </w:t>
      </w:r>
      <w:hyperlink r:id="rId6" w:tgtFrame="_blank" w:history="1">
        <w:r w:rsidRPr="00C53BF6">
          <w:rPr>
            <w:rFonts w:ascii="Times New Roman" w:eastAsia="Times New Roman" w:hAnsi="Times New Roman" w:cs="Times New Roman"/>
            <w:kern w:val="0"/>
            <w:sz w:val="26"/>
            <w:szCs w:val="26"/>
            <w14:ligatures w14:val="none"/>
          </w:rPr>
          <w:t>Nghị định 73/2024/NĐ-CP</w:t>
        </w:r>
      </w:hyperlink>
    </w:p>
    <w:p w:rsidR="003E5291" w:rsidRPr="00C53BF6" w:rsidRDefault="00AA2BA9"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b/>
          <w:bCs/>
          <w:kern w:val="0"/>
          <w:sz w:val="26"/>
          <w:szCs w:val="26"/>
          <w14:ligatures w14:val="none"/>
        </w:rPr>
        <w:t xml:space="preserve">2. </w:t>
      </w:r>
      <w:r w:rsidR="003E5291" w:rsidRPr="00C53BF6">
        <w:rPr>
          <w:rFonts w:ascii="Times New Roman" w:eastAsia="Times New Roman" w:hAnsi="Times New Roman" w:cs="Times New Roman"/>
          <w:b/>
          <w:bCs/>
          <w:kern w:val="0"/>
          <w:sz w:val="26"/>
          <w:szCs w:val="26"/>
          <w14:ligatures w14:val="none"/>
        </w:rPr>
        <w:t>Mức thanh toán tổng chi phí vật tư y tế </w:t>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lastRenderedPageBreak/>
        <w:t>Bên cạnh quy định về mức thanh toán trực tiếp BHYT khi khám, chữa bệnh t</w:t>
      </w:r>
      <w:r w:rsidR="004C48BB">
        <w:rPr>
          <w:rFonts w:ascii="Times New Roman" w:eastAsia="Times New Roman" w:hAnsi="Times New Roman" w:cs="Times New Roman"/>
          <w:kern w:val="0"/>
          <w:sz w:val="26"/>
          <w:szCs w:val="26"/>
          <w14:ligatures w14:val="none"/>
        </w:rPr>
        <w:t>hì Công văn cũng đã đề cập đến </w:t>
      </w:r>
      <w:bookmarkStart w:id="0" w:name="_GoBack"/>
      <w:bookmarkEnd w:id="0"/>
      <w:r w:rsidRPr="00C53BF6">
        <w:rPr>
          <w:rFonts w:ascii="Times New Roman" w:eastAsia="Times New Roman" w:hAnsi="Times New Roman" w:cs="Times New Roman"/>
          <w:kern w:val="0"/>
          <w:sz w:val="26"/>
          <w:szCs w:val="26"/>
          <w14:ligatures w14:val="none"/>
        </w:rPr>
        <w:t>mức thanh toán tổng chi phí vật tư y tế cho một lần sử dụng dịch vụ kỹ thuật không vượt quá 45 tháng lương cơ sở đối với vật tư y tế thuộc phạm vi được hưởng của người tham gia BHYT như sau:</w:t>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Trường hợp người bệnh vào viện từ ngày 01/7/2024: tương đương không vượt quá 105.300.000 đồng.</w:t>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Trường hợp người bệnh vào viện hoặc bắt đầu đợt điều trị trước ngày 01/7/2024 nhưng ra viện hoặc kết thúc đợt điều trị từ ngày 01/7/2024, mức thanh toán tổng chi phí vật tư y tế cho một lần sử dụng dịch vụ kỹ thuật được xác định theo thời điểm kết thúc dịch vụ kỹ thuật và tính chi phí theo 02 thời điểm như sau:</w:t>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bCs/>
          <w:kern w:val="0"/>
          <w:sz w:val="26"/>
          <w:szCs w:val="26"/>
          <w14:ligatures w14:val="none"/>
        </w:rPr>
        <w:t xml:space="preserve">+ Trước ngày 01/7/2024: </w:t>
      </w:r>
      <w:r w:rsidRPr="00C53BF6">
        <w:rPr>
          <w:rFonts w:ascii="Times New Roman" w:eastAsia="Times New Roman" w:hAnsi="Times New Roman" w:cs="Times New Roman"/>
          <w:kern w:val="0"/>
          <w:sz w:val="26"/>
          <w:szCs w:val="26"/>
          <w14:ligatures w14:val="none"/>
        </w:rPr>
        <w:t>Áp dụng mức lương cơ sở quy định tại</w:t>
      </w:r>
      <w:hyperlink r:id="rId7" w:history="1">
        <w:r w:rsidRPr="00C53BF6">
          <w:rPr>
            <w:rFonts w:ascii="Times New Roman" w:eastAsia="Times New Roman" w:hAnsi="Times New Roman" w:cs="Times New Roman"/>
            <w:kern w:val="0"/>
            <w:sz w:val="26"/>
            <w:szCs w:val="26"/>
            <w14:ligatures w14:val="none"/>
          </w:rPr>
          <w:t xml:space="preserve"> Nghị định 24/2023/NĐ-CP </w:t>
        </w:r>
      </w:hyperlink>
      <w:r w:rsidRPr="00C53BF6">
        <w:rPr>
          <w:rFonts w:ascii="Times New Roman" w:eastAsia="Times New Roman" w:hAnsi="Times New Roman" w:cs="Times New Roman"/>
          <w:kern w:val="0"/>
          <w:sz w:val="26"/>
          <w:szCs w:val="26"/>
          <w14:ligatures w14:val="none"/>
        </w:rPr>
        <w:t>quy định mức lương cơ sở đối với cán bộ, công chức, viên chức và lực lượng vũ trang, tương đương không vượt quá 81.000.000 đồng.</w:t>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bCs/>
          <w:kern w:val="0"/>
          <w:sz w:val="26"/>
          <w:szCs w:val="26"/>
          <w14:ligatures w14:val="none"/>
        </w:rPr>
        <w:t xml:space="preserve">+ Từ ngày 01/7/2024: </w:t>
      </w:r>
      <w:r w:rsidRPr="00C53BF6">
        <w:rPr>
          <w:rFonts w:ascii="Times New Roman" w:eastAsia="Times New Roman" w:hAnsi="Times New Roman" w:cs="Times New Roman"/>
          <w:kern w:val="0"/>
          <w:sz w:val="26"/>
          <w:szCs w:val="26"/>
          <w14:ligatures w14:val="none"/>
        </w:rPr>
        <w:t xml:space="preserve">Áp dụng mức lương cơ sở quy định tại </w:t>
      </w:r>
      <w:hyperlink r:id="rId8" w:history="1">
        <w:r w:rsidRPr="00C53BF6">
          <w:rPr>
            <w:rFonts w:ascii="Times New Roman" w:eastAsia="Times New Roman" w:hAnsi="Times New Roman" w:cs="Times New Roman"/>
            <w:kern w:val="0"/>
            <w:sz w:val="26"/>
            <w:szCs w:val="26"/>
            <w14:ligatures w14:val="none"/>
          </w:rPr>
          <w:t>Nghị định 73/2024/NĐ-CP</w:t>
        </w:r>
      </w:hyperlink>
      <w:r w:rsidRPr="00C53BF6">
        <w:rPr>
          <w:rFonts w:ascii="Times New Roman" w:eastAsia="Times New Roman" w:hAnsi="Times New Roman" w:cs="Times New Roman"/>
          <w:kern w:val="0"/>
          <w:sz w:val="26"/>
          <w:szCs w:val="26"/>
          <w14:ligatures w14:val="none"/>
        </w:rPr>
        <w:t>  tương đương không vượt quá 105.300.000 đồng.</w:t>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 xml:space="preserve">- Từ 01/7/2024 và trường hợp người bệnh vào viện hoặc bắt đầu đợt điều trị trước ngày 01/7/2024 nhưng ra viện hoặc kết thúc đợt điều trị từ ngày 01/7/2024 thì số tiền cùng chi trả chi phí KCB BHYT trong năm lớn hơn 06 tháng lương cơ sở để xác định quyền lợi không cùng chi trả theo quy định tại điểm đ khoản 1 Điều 14 </w:t>
      </w:r>
      <w:hyperlink r:id="rId9" w:anchor="dieu_14" w:history="1">
        <w:r w:rsidRPr="00C53BF6">
          <w:rPr>
            <w:rFonts w:ascii="Times New Roman" w:eastAsia="Times New Roman" w:hAnsi="Times New Roman" w:cs="Times New Roman"/>
            <w:kern w:val="0"/>
            <w:sz w:val="26"/>
            <w:szCs w:val="26"/>
            <w14:ligatures w14:val="none"/>
          </w:rPr>
          <w:t>Nghị định 146/2018/NĐ-CP</w:t>
        </w:r>
      </w:hyperlink>
      <w:r w:rsidRPr="00C53BF6">
        <w:rPr>
          <w:rFonts w:ascii="Times New Roman" w:eastAsia="Times New Roman" w:hAnsi="Times New Roman" w:cs="Times New Roman"/>
          <w:kern w:val="0"/>
          <w:sz w:val="26"/>
          <w:szCs w:val="26"/>
          <w14:ligatures w14:val="none"/>
        </w:rPr>
        <w:t xml:space="preserve"> lớn hơn số tiền được xác định như sau:</w:t>
      </w:r>
    </w:p>
    <w:p w:rsidR="003E5291" w:rsidRPr="00C53BF6" w:rsidRDefault="003E5291" w:rsidP="00C53BF6">
      <w:pPr>
        <w:spacing w:after="0" w:line="360" w:lineRule="auto"/>
        <w:jc w:val="center"/>
        <w:rPr>
          <w:rFonts w:ascii="Times New Roman" w:eastAsia="Times New Roman" w:hAnsi="Times New Roman" w:cs="Times New Roman"/>
          <w:color w:val="333333"/>
          <w:kern w:val="0"/>
          <w:sz w:val="26"/>
          <w:szCs w:val="26"/>
          <w14:ligatures w14:val="none"/>
        </w:rPr>
      </w:pPr>
      <w:r w:rsidRPr="00C53BF6">
        <w:rPr>
          <w:rFonts w:ascii="Times New Roman" w:eastAsia="Times New Roman" w:hAnsi="Times New Roman" w:cs="Times New Roman"/>
          <w:noProof/>
          <w:color w:val="333333"/>
          <w:kern w:val="0"/>
          <w:sz w:val="26"/>
          <w:szCs w:val="26"/>
          <w14:ligatures w14:val="none"/>
        </w:rPr>
        <w:drawing>
          <wp:inline distT="0" distB="0" distL="0" distR="0">
            <wp:extent cx="5766435" cy="789709"/>
            <wp:effectExtent l="0" t="0" r="5715" b="0"/>
            <wp:docPr id="1" name="Picture 1" descr="https://cdn.thuvienphapluat.vn/uploads/cong-dong-dan-luat/2024/thang-7/03/muc-huong-y-te-a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uvienphapluat.vn/uploads/cong-dong-dan-luat/2024/thang-7/03/muc-huong-y-te-anh-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0556" cy="797121"/>
                    </a:xfrm>
                    <a:prstGeom prst="rect">
                      <a:avLst/>
                    </a:prstGeom>
                    <a:noFill/>
                    <a:ln>
                      <a:noFill/>
                    </a:ln>
                  </pic:spPr>
                </pic:pic>
              </a:graphicData>
            </a:graphic>
          </wp:inline>
        </w:drawing>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Đối với các trường hợp có số tiền cùng chi trả từ 01/01/2024 đến trước ngày 01/7/2024 đã đủ hoặc vượt quá 6 tháng lương cơ sở thì được hưởng quyền lợi theo quy định tại điểm đ khoản 1 Điều 14 Nghị</w:t>
      </w:r>
      <w:hyperlink r:id="rId11" w:anchor="dieu_14" w:tgtFrame="_blank" w:history="1">
        <w:r w:rsidRPr="00C53BF6">
          <w:rPr>
            <w:rFonts w:ascii="Times New Roman" w:eastAsia="Times New Roman" w:hAnsi="Times New Roman" w:cs="Times New Roman"/>
            <w:kern w:val="0"/>
            <w:sz w:val="26"/>
            <w:szCs w:val="26"/>
            <w14:ligatures w14:val="none"/>
          </w:rPr>
          <w:t xml:space="preserve"> định 146/2018/NĐ-CP</w:t>
        </w:r>
      </w:hyperlink>
      <w:r w:rsidRPr="00C53BF6">
        <w:rPr>
          <w:rFonts w:ascii="Times New Roman" w:eastAsia="Times New Roman" w:hAnsi="Times New Roman" w:cs="Times New Roman"/>
          <w:kern w:val="0"/>
          <w:sz w:val="26"/>
          <w:szCs w:val="26"/>
          <w14:ligatures w14:val="none"/>
        </w:rPr>
        <w:t>  và không áp dụng công thức này.</w:t>
      </w:r>
    </w:p>
    <w:p w:rsidR="003E5291" w:rsidRPr="00C53BF6" w:rsidRDefault="003E5291" w:rsidP="00C53BF6">
      <w:pPr>
        <w:spacing w:after="0" w:line="360" w:lineRule="auto"/>
        <w:jc w:val="both"/>
        <w:rPr>
          <w:rFonts w:ascii="Times New Roman" w:eastAsia="Times New Roman" w:hAnsi="Times New Roman" w:cs="Times New Roman"/>
          <w:kern w:val="0"/>
          <w:sz w:val="26"/>
          <w:szCs w:val="26"/>
          <w14:ligatures w14:val="none"/>
        </w:rPr>
      </w:pPr>
      <w:r w:rsidRPr="00C53BF6">
        <w:rPr>
          <w:rFonts w:ascii="Times New Roman" w:eastAsia="Times New Roman" w:hAnsi="Times New Roman" w:cs="Times New Roman"/>
          <w:kern w:val="0"/>
          <w:sz w:val="26"/>
          <w:szCs w:val="26"/>
          <w14:ligatures w14:val="none"/>
        </w:rPr>
        <w:t>Tóm lại, trên đây là toàn bộ mức thanh toán trực tiếp BHYT khi khám chữa, bệnh và mức thanh toán tổng chi phí vật tư y tế cho một lần sử dụng dịch vụ kỹ thuật không vượt quá 45 tháng lương cơ sở đối với vật tư y tế thuộc phạm vi được hưởng của người tham gia BHYT.</w:t>
      </w:r>
    </w:p>
    <w:p w:rsidR="008A73EF" w:rsidRPr="00C53BF6" w:rsidRDefault="008A73EF" w:rsidP="00C53BF6">
      <w:pPr>
        <w:spacing w:after="0" w:line="360" w:lineRule="auto"/>
        <w:jc w:val="both"/>
        <w:rPr>
          <w:rFonts w:ascii="Times New Roman" w:eastAsia="Times New Roman" w:hAnsi="Times New Roman" w:cs="Times New Roman"/>
          <w:b/>
          <w:kern w:val="0"/>
          <w:sz w:val="26"/>
          <w:szCs w:val="26"/>
          <w14:ligatures w14:val="none"/>
        </w:rPr>
      </w:pPr>
      <w:r w:rsidRPr="00C53BF6">
        <w:rPr>
          <w:rFonts w:ascii="Times New Roman" w:eastAsia="Times New Roman" w:hAnsi="Times New Roman" w:cs="Times New Roman"/>
          <w:b/>
          <w:kern w:val="0"/>
          <w:sz w:val="26"/>
          <w:szCs w:val="26"/>
          <w14:ligatures w14:val="none"/>
        </w:rPr>
        <w:lastRenderedPageBreak/>
        <w:t xml:space="preserve">3. Kết luận </w:t>
      </w:r>
    </w:p>
    <w:p w:rsidR="008A73EF" w:rsidRPr="008A73EF" w:rsidRDefault="008A73EF" w:rsidP="00C53BF6">
      <w:pPr>
        <w:spacing w:after="0" w:line="360" w:lineRule="auto"/>
        <w:rPr>
          <w:rFonts w:ascii="Times New Roman" w:eastAsia="Times New Roman" w:hAnsi="Times New Roman" w:cs="Times New Roman"/>
          <w:kern w:val="0"/>
          <w:sz w:val="26"/>
          <w:szCs w:val="26"/>
          <w14:ligatures w14:val="none"/>
        </w:rPr>
      </w:pPr>
      <w:r w:rsidRPr="008A73EF">
        <w:rPr>
          <w:rFonts w:ascii="Times New Roman" w:eastAsia="Times New Roman" w:hAnsi="Times New Roman" w:cs="Times New Roman"/>
          <w:kern w:val="0"/>
          <w:sz w:val="26"/>
          <w:szCs w:val="26"/>
          <w14:ligatures w14:val="none"/>
        </w:rPr>
        <w:t>Việc điều chỉnh lương cơ sở lên 2.340.000 đồng/tháng từ ngày 01/7/2024 mang lại tác động tích cực cho người dân khi thanh toán chi phí khám, chữa bệnh theo bảo hiểm y tế. Với mức lương cơ sở mới, mức thanh toán trực tiếp cho các dịch vụ y tế ngoại trú và nội trú, cũng như tổng chi phí vật tư y tế, được nâng cao để đảm bảo người dân có thể tiếp cận dịch vụ chăm sóc sức khỏe tốt hơn mà không phải chịu gánh nặng chi phí lớn.</w:t>
      </w:r>
    </w:p>
    <w:p w:rsidR="008A73EF" w:rsidRPr="008A73EF" w:rsidRDefault="008A73EF" w:rsidP="00C53BF6">
      <w:pPr>
        <w:spacing w:after="0" w:line="360" w:lineRule="auto"/>
        <w:rPr>
          <w:rFonts w:ascii="Times New Roman" w:eastAsia="Times New Roman" w:hAnsi="Times New Roman" w:cs="Times New Roman"/>
          <w:kern w:val="0"/>
          <w:sz w:val="26"/>
          <w:szCs w:val="26"/>
          <w14:ligatures w14:val="none"/>
        </w:rPr>
      </w:pPr>
      <w:r w:rsidRPr="008A73EF">
        <w:rPr>
          <w:rFonts w:ascii="Times New Roman" w:eastAsia="Times New Roman" w:hAnsi="Times New Roman" w:cs="Times New Roman"/>
          <w:kern w:val="0"/>
          <w:sz w:val="26"/>
          <w:szCs w:val="26"/>
          <w14:ligatures w14:val="none"/>
        </w:rPr>
        <w:t>Sự điều chỉnh này không chỉ giúp giảm tỷ lệ và mức chi trả trực tiếp của người tham gia BHYT mà còn tạo điều kiện hỗ trợ chi phí cho các trường hợp điều trị tại tuyến tỉnh và tuyến trung ương khi không có hợp đồng khám chữa bệnh BHYT, đặc biệt là trong các tình huống khẩn cấp. Việc tăng lương cơ sở đã góp phần cải thiện hệ thống an sinh xã hội, đảm bảo quyền lợi của người dân, và đồng thời đáp ứng nhu cầu chăm sóc sức khỏe trong bối cảnh giá cả sinh hoạt gia tăng. Đây là một bước tiến quan trọng trong việc giảm bớt gánh nặng tài chính cho người dân khi sử dụng dịch vụ y tế và nâng cao chất lượng cuộc sống.</w:t>
      </w:r>
    </w:p>
    <w:p w:rsidR="008A37DC" w:rsidRPr="00C53BF6" w:rsidRDefault="00111DBB" w:rsidP="00C53BF6">
      <w:pPr>
        <w:pStyle w:val="NormalWeb"/>
        <w:spacing w:before="0" w:beforeAutospacing="0" w:after="0" w:afterAutospacing="0" w:line="360" w:lineRule="auto"/>
        <w:jc w:val="both"/>
        <w:rPr>
          <w:b/>
          <w:sz w:val="26"/>
          <w:szCs w:val="26"/>
        </w:rPr>
      </w:pPr>
      <w:r w:rsidRPr="00C53BF6">
        <w:rPr>
          <w:b/>
          <w:sz w:val="26"/>
          <w:szCs w:val="26"/>
        </w:rPr>
        <w:t>Tài liệu tham khảo:</w:t>
      </w:r>
    </w:p>
    <w:p w:rsidR="00111DBB" w:rsidRPr="00C53BF6" w:rsidRDefault="00111DBB" w:rsidP="00C53BF6">
      <w:pPr>
        <w:shd w:val="clear" w:color="auto" w:fill="FFFFFF"/>
        <w:spacing w:after="0" w:line="360" w:lineRule="auto"/>
        <w:ind w:left="-180"/>
        <w:jc w:val="center"/>
        <w:rPr>
          <w:rFonts w:ascii="Times New Roman" w:eastAsia="Times New Roman" w:hAnsi="Times New Roman" w:cs="Times New Roman"/>
          <w:color w:val="000000"/>
          <w:kern w:val="0"/>
          <w:sz w:val="26"/>
          <w:szCs w:val="26"/>
          <w:lang w:val="en"/>
          <w14:ligatures w14:val="none"/>
        </w:rPr>
      </w:pPr>
      <w:r w:rsidRPr="00C53BF6">
        <w:rPr>
          <w:rFonts w:ascii="Times New Roman" w:hAnsi="Times New Roman" w:cs="Times New Roman"/>
          <w:sz w:val="26"/>
          <w:szCs w:val="26"/>
        </w:rPr>
        <w:t xml:space="preserve">1. Nghị định </w:t>
      </w:r>
      <w:r w:rsidRPr="00111DBB">
        <w:rPr>
          <w:rFonts w:ascii="Times New Roman" w:eastAsia="Times New Roman" w:hAnsi="Times New Roman" w:cs="Times New Roman"/>
          <w:color w:val="000000"/>
          <w:kern w:val="0"/>
          <w:sz w:val="26"/>
          <w:szCs w:val="26"/>
          <w:lang w:val="en"/>
          <w14:ligatures w14:val="none"/>
        </w:rPr>
        <w:t>146/2018/NĐ-CP</w:t>
      </w:r>
      <w:r w:rsidRPr="00C53BF6">
        <w:rPr>
          <w:rFonts w:ascii="Times New Roman" w:hAnsi="Times New Roman" w:cs="Times New Roman"/>
          <w:color w:val="000000"/>
          <w:sz w:val="26"/>
          <w:szCs w:val="26"/>
          <w:lang w:val="en"/>
        </w:rPr>
        <w:t xml:space="preserve"> về </w:t>
      </w:r>
      <w:r w:rsidRPr="00C53BF6">
        <w:rPr>
          <w:rFonts w:ascii="Times New Roman" w:eastAsia="Times New Roman" w:hAnsi="Times New Roman" w:cs="Times New Roman"/>
          <w:color w:val="000000"/>
          <w:kern w:val="0"/>
          <w:sz w:val="26"/>
          <w:szCs w:val="26"/>
          <w:lang w:val="en"/>
          <w14:ligatures w14:val="none"/>
        </w:rPr>
        <w:t>quy định chi tiết và hướng dẫn biện pháp thi hành một số điều của luật bảo hiểm y tế ngày 17/10/2018</w:t>
      </w:r>
    </w:p>
    <w:p w:rsidR="00C53BF6" w:rsidRPr="00C53BF6" w:rsidRDefault="00111DBB" w:rsidP="00C53BF6">
      <w:pPr>
        <w:shd w:val="clear" w:color="auto" w:fill="FFFFFF"/>
        <w:spacing w:after="0" w:line="360" w:lineRule="auto"/>
        <w:rPr>
          <w:rFonts w:ascii="Times New Roman" w:eastAsia="Times New Roman" w:hAnsi="Times New Roman" w:cs="Times New Roman"/>
          <w:color w:val="000000"/>
          <w:kern w:val="0"/>
          <w:sz w:val="26"/>
          <w:szCs w:val="26"/>
          <w14:ligatures w14:val="none"/>
        </w:rPr>
      </w:pPr>
      <w:r w:rsidRPr="00C53BF6">
        <w:rPr>
          <w:rFonts w:ascii="Times New Roman" w:eastAsia="Times New Roman" w:hAnsi="Times New Roman" w:cs="Times New Roman"/>
          <w:color w:val="000000"/>
          <w:kern w:val="0"/>
          <w:sz w:val="26"/>
          <w:szCs w:val="26"/>
          <w:lang w:val="en"/>
          <w14:ligatures w14:val="none"/>
        </w:rPr>
        <w:t xml:space="preserve">2. </w:t>
      </w:r>
      <w:r w:rsidR="00C53BF6" w:rsidRPr="00C53BF6">
        <w:rPr>
          <w:rFonts w:ascii="Times New Roman" w:eastAsia="Times New Roman" w:hAnsi="Times New Roman" w:cs="Times New Roman"/>
          <w:color w:val="000000"/>
          <w:kern w:val="0"/>
          <w:sz w:val="26"/>
          <w:szCs w:val="26"/>
          <w:lang w:val="en"/>
          <w14:ligatures w14:val="none"/>
        </w:rPr>
        <w:t xml:space="preserve"> Luật Bảo hiểm y tế 25/2008/QH12 ngày 14 tháng 11 năm 2008.</w:t>
      </w:r>
    </w:p>
    <w:p w:rsidR="00CB0612" w:rsidRPr="00C53BF6" w:rsidRDefault="00CB0612" w:rsidP="00C53BF6">
      <w:pPr>
        <w:pStyle w:val="NormalWeb"/>
        <w:spacing w:before="0" w:beforeAutospacing="0" w:after="0" w:afterAutospacing="0" w:line="360" w:lineRule="auto"/>
        <w:rPr>
          <w:sz w:val="26"/>
          <w:szCs w:val="26"/>
        </w:rPr>
      </w:pPr>
    </w:p>
    <w:p w:rsidR="00C84A89" w:rsidRPr="00C53BF6" w:rsidRDefault="00C84A89" w:rsidP="00C53BF6">
      <w:pPr>
        <w:spacing w:after="0" w:line="360" w:lineRule="auto"/>
        <w:rPr>
          <w:rFonts w:ascii="Times New Roman" w:hAnsi="Times New Roman" w:cs="Times New Roman"/>
          <w:sz w:val="26"/>
          <w:szCs w:val="26"/>
        </w:rPr>
      </w:pPr>
    </w:p>
    <w:sectPr w:rsidR="00C84A89" w:rsidRPr="00C53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BB"/>
    <w:multiLevelType w:val="hybridMultilevel"/>
    <w:tmpl w:val="1D70C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12"/>
    <w:rsid w:val="00037D2B"/>
    <w:rsid w:val="00057881"/>
    <w:rsid w:val="000730EA"/>
    <w:rsid w:val="00111DBB"/>
    <w:rsid w:val="00153663"/>
    <w:rsid w:val="002548E5"/>
    <w:rsid w:val="00256C51"/>
    <w:rsid w:val="003E5291"/>
    <w:rsid w:val="004A139D"/>
    <w:rsid w:val="004C48BB"/>
    <w:rsid w:val="0050689B"/>
    <w:rsid w:val="005A2746"/>
    <w:rsid w:val="005A3A13"/>
    <w:rsid w:val="005B59E9"/>
    <w:rsid w:val="006C5206"/>
    <w:rsid w:val="008A37DC"/>
    <w:rsid w:val="008A73EF"/>
    <w:rsid w:val="009729F6"/>
    <w:rsid w:val="00A306E3"/>
    <w:rsid w:val="00A46822"/>
    <w:rsid w:val="00AA2BA9"/>
    <w:rsid w:val="00C53BF6"/>
    <w:rsid w:val="00C74A90"/>
    <w:rsid w:val="00C84A89"/>
    <w:rsid w:val="00CB0612"/>
    <w:rsid w:val="00D403DC"/>
    <w:rsid w:val="00D45114"/>
    <w:rsid w:val="00D7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CAD8"/>
  <w15:chartTrackingRefBased/>
  <w15:docId w15:val="{088534D7-1802-4E45-8B86-C0AA1B4F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06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A139D"/>
    <w:rPr>
      <w:color w:val="0000FF"/>
      <w:u w:val="single"/>
    </w:rPr>
  </w:style>
  <w:style w:type="character" w:styleId="Strong">
    <w:name w:val="Strong"/>
    <w:basedOn w:val="DefaultParagraphFont"/>
    <w:uiPriority w:val="22"/>
    <w:qFormat/>
    <w:rsid w:val="003E5291"/>
    <w:rPr>
      <w:b/>
      <w:bCs/>
    </w:rPr>
  </w:style>
  <w:style w:type="paragraph" w:styleId="ListParagraph">
    <w:name w:val="List Paragraph"/>
    <w:basedOn w:val="Normal"/>
    <w:uiPriority w:val="34"/>
    <w:qFormat/>
    <w:rsid w:val="0011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7361">
      <w:bodyDiv w:val="1"/>
      <w:marLeft w:val="0"/>
      <w:marRight w:val="0"/>
      <w:marTop w:val="0"/>
      <w:marBottom w:val="0"/>
      <w:divBdr>
        <w:top w:val="none" w:sz="0" w:space="0" w:color="auto"/>
        <w:left w:val="none" w:sz="0" w:space="0" w:color="auto"/>
        <w:bottom w:val="none" w:sz="0" w:space="0" w:color="auto"/>
        <w:right w:val="none" w:sz="0" w:space="0" w:color="auto"/>
      </w:divBdr>
    </w:div>
    <w:div w:id="510950413">
      <w:bodyDiv w:val="1"/>
      <w:marLeft w:val="0"/>
      <w:marRight w:val="0"/>
      <w:marTop w:val="0"/>
      <w:marBottom w:val="0"/>
      <w:divBdr>
        <w:top w:val="none" w:sz="0" w:space="0" w:color="auto"/>
        <w:left w:val="none" w:sz="0" w:space="0" w:color="auto"/>
        <w:bottom w:val="none" w:sz="0" w:space="0" w:color="auto"/>
        <w:right w:val="none" w:sz="0" w:space="0" w:color="auto"/>
      </w:divBdr>
    </w:div>
    <w:div w:id="622464295">
      <w:bodyDiv w:val="1"/>
      <w:marLeft w:val="0"/>
      <w:marRight w:val="0"/>
      <w:marTop w:val="0"/>
      <w:marBottom w:val="0"/>
      <w:divBdr>
        <w:top w:val="none" w:sz="0" w:space="0" w:color="auto"/>
        <w:left w:val="none" w:sz="0" w:space="0" w:color="auto"/>
        <w:bottom w:val="none" w:sz="0" w:space="0" w:color="auto"/>
        <w:right w:val="none" w:sz="0" w:space="0" w:color="auto"/>
      </w:divBdr>
      <w:divsChild>
        <w:div w:id="804389976">
          <w:marLeft w:val="0"/>
          <w:marRight w:val="0"/>
          <w:marTop w:val="0"/>
          <w:marBottom w:val="0"/>
          <w:divBdr>
            <w:top w:val="none" w:sz="0" w:space="0" w:color="auto"/>
            <w:left w:val="none" w:sz="0" w:space="0" w:color="auto"/>
            <w:bottom w:val="none" w:sz="0" w:space="0" w:color="auto"/>
            <w:right w:val="none" w:sz="0" w:space="0" w:color="auto"/>
          </w:divBdr>
          <w:divsChild>
            <w:div w:id="859005109">
              <w:marLeft w:val="0"/>
              <w:marRight w:val="0"/>
              <w:marTop w:val="0"/>
              <w:marBottom w:val="0"/>
              <w:divBdr>
                <w:top w:val="none" w:sz="0" w:space="0" w:color="auto"/>
                <w:left w:val="none" w:sz="0" w:space="0" w:color="auto"/>
                <w:bottom w:val="none" w:sz="0" w:space="0" w:color="auto"/>
                <w:right w:val="none" w:sz="0" w:space="0" w:color="auto"/>
              </w:divBdr>
              <w:divsChild>
                <w:div w:id="151071892">
                  <w:marLeft w:val="0"/>
                  <w:marRight w:val="0"/>
                  <w:marTop w:val="0"/>
                  <w:marBottom w:val="0"/>
                  <w:divBdr>
                    <w:top w:val="none" w:sz="0" w:space="0" w:color="auto"/>
                    <w:left w:val="none" w:sz="0" w:space="0" w:color="auto"/>
                    <w:bottom w:val="none" w:sz="0" w:space="0" w:color="auto"/>
                    <w:right w:val="none" w:sz="0" w:space="0" w:color="auto"/>
                  </w:divBdr>
                  <w:divsChild>
                    <w:div w:id="7988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560">
      <w:bodyDiv w:val="1"/>
      <w:marLeft w:val="0"/>
      <w:marRight w:val="0"/>
      <w:marTop w:val="0"/>
      <w:marBottom w:val="0"/>
      <w:divBdr>
        <w:top w:val="none" w:sz="0" w:space="0" w:color="auto"/>
        <w:left w:val="none" w:sz="0" w:space="0" w:color="auto"/>
        <w:bottom w:val="none" w:sz="0" w:space="0" w:color="auto"/>
        <w:right w:val="none" w:sz="0" w:space="0" w:color="auto"/>
      </w:divBdr>
    </w:div>
    <w:div w:id="785201412">
      <w:bodyDiv w:val="1"/>
      <w:marLeft w:val="0"/>
      <w:marRight w:val="0"/>
      <w:marTop w:val="0"/>
      <w:marBottom w:val="0"/>
      <w:divBdr>
        <w:top w:val="none" w:sz="0" w:space="0" w:color="auto"/>
        <w:left w:val="none" w:sz="0" w:space="0" w:color="auto"/>
        <w:bottom w:val="none" w:sz="0" w:space="0" w:color="auto"/>
        <w:right w:val="none" w:sz="0" w:space="0" w:color="auto"/>
      </w:divBdr>
      <w:divsChild>
        <w:div w:id="1684700807">
          <w:marLeft w:val="0"/>
          <w:marRight w:val="0"/>
          <w:marTop w:val="0"/>
          <w:marBottom w:val="0"/>
          <w:divBdr>
            <w:top w:val="none" w:sz="0" w:space="0" w:color="auto"/>
            <w:left w:val="none" w:sz="0" w:space="0" w:color="auto"/>
            <w:bottom w:val="none" w:sz="0" w:space="0" w:color="auto"/>
            <w:right w:val="none" w:sz="0" w:space="0" w:color="auto"/>
          </w:divBdr>
          <w:divsChild>
            <w:div w:id="1781872526">
              <w:marLeft w:val="0"/>
              <w:marRight w:val="0"/>
              <w:marTop w:val="0"/>
              <w:marBottom w:val="0"/>
              <w:divBdr>
                <w:top w:val="none" w:sz="0" w:space="0" w:color="auto"/>
                <w:left w:val="none" w:sz="0" w:space="0" w:color="auto"/>
                <w:bottom w:val="none" w:sz="0" w:space="0" w:color="auto"/>
                <w:right w:val="none" w:sz="0" w:space="0" w:color="auto"/>
              </w:divBdr>
              <w:divsChild>
                <w:div w:id="509221699">
                  <w:marLeft w:val="0"/>
                  <w:marRight w:val="0"/>
                  <w:marTop w:val="0"/>
                  <w:marBottom w:val="0"/>
                  <w:divBdr>
                    <w:top w:val="none" w:sz="0" w:space="0" w:color="auto"/>
                    <w:left w:val="none" w:sz="0" w:space="0" w:color="auto"/>
                    <w:bottom w:val="none" w:sz="0" w:space="0" w:color="auto"/>
                    <w:right w:val="none" w:sz="0" w:space="0" w:color="auto"/>
                  </w:divBdr>
                  <w:divsChild>
                    <w:div w:id="6551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5421">
      <w:bodyDiv w:val="1"/>
      <w:marLeft w:val="0"/>
      <w:marRight w:val="0"/>
      <w:marTop w:val="0"/>
      <w:marBottom w:val="0"/>
      <w:divBdr>
        <w:top w:val="none" w:sz="0" w:space="0" w:color="auto"/>
        <w:left w:val="none" w:sz="0" w:space="0" w:color="auto"/>
        <w:bottom w:val="none" w:sz="0" w:space="0" w:color="auto"/>
        <w:right w:val="none" w:sz="0" w:space="0" w:color="auto"/>
      </w:divBdr>
    </w:div>
    <w:div w:id="1770927225">
      <w:bodyDiv w:val="1"/>
      <w:marLeft w:val="0"/>
      <w:marRight w:val="0"/>
      <w:marTop w:val="0"/>
      <w:marBottom w:val="0"/>
      <w:divBdr>
        <w:top w:val="none" w:sz="0" w:space="0" w:color="auto"/>
        <w:left w:val="none" w:sz="0" w:space="0" w:color="auto"/>
        <w:bottom w:val="none" w:sz="0" w:space="0" w:color="auto"/>
        <w:right w:val="none" w:sz="0" w:space="0" w:color="auto"/>
      </w:divBdr>
    </w:div>
    <w:div w:id="21263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73-2024-ND-CP-muc-luong-co-so-che-do-tien-thuong-can-bo-cong-chuc-luc-luong-vu-trang-615447.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Lao-dong-Tien-luong/Nghi-dinh-24-2023-ND-CP-muc-luong-co-so-can-bo-cong-vien-chuc-luc-luong-vu-trang-432518.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Lao-dong-Tien-luong/Nghi-dinh-73-2024-ND-CP-muc-luong-co-so-che-do-tien-thuong-can-bo-cong-chuc-luc-luong-vu-trang-615447.aspx?anchor=dieu_3" TargetMode="External"/><Relationship Id="rId11" Type="http://schemas.openxmlformats.org/officeDocument/2006/relationships/hyperlink" Target="https://thuvienphapluat.vn/van-ban/The-thao-Y-te/Nghi-dinh-146-2018-ND-CP-huong-dan-Luat-bao-hiem-y-te-357505.aspx" TargetMode="External"/><Relationship Id="rId5" Type="http://schemas.openxmlformats.org/officeDocument/2006/relationships/hyperlink" Target="https://thuvienphapluat.vn/van-ban/The-thao-Y-te/Nghi-dinh-146-2018-ND-CP-huong-dan-Luat-bao-hiem-y-te-357505.aspx"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huvienphapluat.vn/van-ban/The-thao-Y-te/Nghi-dinh-146-2018-ND-CP-huong-dan-Luat-bao-hiem-y-te-3575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1560</Words>
  <Characters>5679</Characters>
  <Application>Microsoft Office Word</Application>
  <DocSecurity>0</DocSecurity>
  <Lines>129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2024-10-26T00:52:00Z</dcterms:created>
  <dcterms:modified xsi:type="dcterms:W3CDTF">2024-11-06T13:52:00Z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3cd2ee50-aa0d-4dcc-bbf0-035caaba8063</vt:lpwstr>
  </property>
</Properties>
</file>