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5405B" w14:textId="77777777" w:rsidR="002D2EBA" w:rsidRPr="004E3914" w:rsidRDefault="002D2EBA" w:rsidP="004E3914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Bổ</w:t>
      </w:r>
      <w:proofErr w:type="spellEnd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sung </w:t>
      </w: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mức</w:t>
      </w:r>
      <w:proofErr w:type="spellEnd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phí</w:t>
      </w:r>
      <w:proofErr w:type="spellEnd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cấp</w:t>
      </w:r>
      <w:proofErr w:type="spellEnd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mã</w:t>
      </w:r>
      <w:proofErr w:type="spellEnd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số</w:t>
      </w:r>
      <w:proofErr w:type="spellEnd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giao</w:t>
      </w:r>
      <w:proofErr w:type="spellEnd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dịch</w:t>
      </w:r>
      <w:proofErr w:type="spellEnd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bảo</w:t>
      </w:r>
      <w:proofErr w:type="spellEnd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đảm</w:t>
      </w:r>
      <w:proofErr w:type="spellEnd"/>
    </w:p>
    <w:p w14:paraId="7542BD6B" w14:textId="77777777" w:rsidR="004E3914" w:rsidRPr="002D2EBA" w:rsidRDefault="004E3914" w:rsidP="004E3914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proofErr w:type="spellStart"/>
      <w:r w:rsidRPr="004E391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ThS</w:t>
      </w:r>
      <w:proofErr w:type="spellEnd"/>
      <w:r w:rsidRPr="004E391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. </w:t>
      </w:r>
      <w:proofErr w:type="spellStart"/>
      <w:r w:rsidRPr="004E391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Nguyễn</w:t>
      </w:r>
      <w:proofErr w:type="spellEnd"/>
      <w:r w:rsidRPr="004E391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</w:t>
      </w:r>
      <w:proofErr w:type="spellStart"/>
      <w:r w:rsidRPr="004E391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Khánh</w:t>
      </w:r>
      <w:proofErr w:type="spellEnd"/>
      <w:r w:rsidRPr="004E391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Thu </w:t>
      </w:r>
      <w:proofErr w:type="spellStart"/>
      <w:r w:rsidRPr="004E391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Hằng</w:t>
      </w:r>
      <w:proofErr w:type="spellEnd"/>
    </w:p>
    <w:p w14:paraId="1C69B453" w14:textId="77777777" w:rsidR="004E3914" w:rsidRDefault="004E3914" w:rsidP="004E3914">
      <w:pPr>
        <w:spacing w:line="36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E3790C6" w14:textId="77777777" w:rsidR="004E3914" w:rsidRPr="004E3914" w:rsidRDefault="004E3914" w:rsidP="004E3914">
      <w:pPr>
        <w:spacing w:line="360" w:lineRule="auto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4E3914">
        <w:rPr>
          <w:rFonts w:ascii="Times New Roman" w:eastAsia="Times New Roman" w:hAnsi="Times New Roman" w:cs="Times New Roman"/>
          <w:b/>
          <w:iCs/>
          <w:sz w:val="28"/>
          <w:szCs w:val="28"/>
        </w:rPr>
        <w:t>Tóm</w:t>
      </w:r>
      <w:proofErr w:type="spellEnd"/>
      <w:r w:rsidRPr="004E391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4E3914">
        <w:rPr>
          <w:rFonts w:ascii="Times New Roman" w:eastAsia="Times New Roman" w:hAnsi="Times New Roman" w:cs="Times New Roman"/>
          <w:b/>
          <w:iCs/>
          <w:sz w:val="28"/>
          <w:szCs w:val="28"/>
        </w:rPr>
        <w:t>tắt</w:t>
      </w:r>
      <w:proofErr w:type="spellEnd"/>
    </w:p>
    <w:p w14:paraId="54B9AD62" w14:textId="77777777" w:rsidR="002D2EBA" w:rsidRDefault="002D2EBA" w:rsidP="001B763D">
      <w:pPr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Bộ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Tài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chính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vừa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ban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hành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Thông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tư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số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61/2023/TT-BTC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quy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định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mức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thu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chế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độ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thu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nộp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quản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lý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sử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dụng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phí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trong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lĩnh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vực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đăng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ký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giao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dịch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bảo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đảm</w:t>
      </w:r>
      <w:proofErr w:type="spellEnd"/>
      <w:r w:rsidRPr="002D2EB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8543B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Bài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viết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này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trao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đổi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những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quy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định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mức</w:t>
      </w:r>
      <w:proofErr w:type="spellEnd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phí</w:t>
      </w:r>
      <w:proofErr w:type="spellEnd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cấp</w:t>
      </w:r>
      <w:proofErr w:type="spellEnd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mã</w:t>
      </w:r>
      <w:proofErr w:type="spellEnd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số</w:t>
      </w:r>
      <w:proofErr w:type="spellEnd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giao</w:t>
      </w:r>
      <w:proofErr w:type="spellEnd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dịch</w:t>
      </w:r>
      <w:proofErr w:type="spellEnd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bảo</w:t>
      </w:r>
      <w:proofErr w:type="spellEnd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đảm</w:t>
      </w:r>
      <w:proofErr w:type="spellEnd"/>
      <w:r w:rsidR="00B751F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3D5DF1" w14:textId="77777777" w:rsidR="00B751FE" w:rsidRDefault="00B751FE" w:rsidP="001B763D">
      <w:pPr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14:paraId="3749E27C" w14:textId="77777777" w:rsidR="004E3914" w:rsidRPr="002D2EBA" w:rsidRDefault="004E3914" w:rsidP="004E3914">
      <w:pPr>
        <w:spacing w:line="360" w:lineRule="auto"/>
        <w:ind w:firstLine="720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khoá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E243B7" w:rsidRPr="002D2EBA">
        <w:rPr>
          <w:rFonts w:ascii="Times New Roman" w:hAnsi="Times New Roman" w:cs="Times New Roman"/>
          <w:i/>
          <w:color w:val="000000"/>
          <w:sz w:val="28"/>
          <w:szCs w:val="28"/>
        </w:rPr>
        <w:t>Phí</w:t>
      </w:r>
      <w:proofErr w:type="spellEnd"/>
      <w:r w:rsidR="00053B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53BB3" w:rsidRPr="002D2EBA">
        <w:rPr>
          <w:rFonts w:ascii="Times New Roman" w:hAnsi="Times New Roman" w:cs="Times New Roman"/>
          <w:i/>
          <w:color w:val="000000"/>
          <w:sz w:val="28"/>
          <w:szCs w:val="28"/>
        </w:rPr>
        <w:t>cấp</w:t>
      </w:r>
      <w:proofErr w:type="spellEnd"/>
      <w:r w:rsidR="00053BB3" w:rsidRPr="002D2EB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53BB3" w:rsidRPr="002D2EBA">
        <w:rPr>
          <w:rFonts w:ascii="Times New Roman" w:hAnsi="Times New Roman" w:cs="Times New Roman"/>
          <w:i/>
          <w:color w:val="000000"/>
          <w:sz w:val="28"/>
          <w:szCs w:val="28"/>
        </w:rPr>
        <w:t>mã</w:t>
      </w:r>
      <w:proofErr w:type="spellEnd"/>
      <w:r w:rsidR="00521B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521B80">
        <w:rPr>
          <w:rFonts w:ascii="Times New Roman" w:hAnsi="Times New Roman" w:cs="Times New Roman"/>
          <w:i/>
          <w:color w:val="000000"/>
          <w:sz w:val="28"/>
          <w:szCs w:val="28"/>
        </w:rPr>
        <w:t>t</w:t>
      </w:r>
      <w:r w:rsidR="00521B80" w:rsidRPr="002D2EBA">
        <w:rPr>
          <w:rFonts w:ascii="Times New Roman" w:hAnsi="Times New Roman" w:cs="Times New Roman"/>
          <w:i/>
          <w:color w:val="000000"/>
          <w:sz w:val="28"/>
          <w:szCs w:val="28"/>
        </w:rPr>
        <w:t>ra</w:t>
      </w:r>
      <w:proofErr w:type="spellEnd"/>
      <w:r w:rsidR="00521B80" w:rsidRPr="002D2EB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521B80" w:rsidRPr="002D2EBA">
        <w:rPr>
          <w:rFonts w:ascii="Times New Roman" w:hAnsi="Times New Roman" w:cs="Times New Roman"/>
          <w:i/>
          <w:color w:val="000000"/>
          <w:sz w:val="28"/>
          <w:szCs w:val="28"/>
        </w:rPr>
        <w:t>cứu</w:t>
      </w:r>
      <w:proofErr w:type="spellEnd"/>
      <w:r w:rsidR="00521B80" w:rsidRPr="002D2EB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521B80" w:rsidRPr="002D2EBA">
        <w:rPr>
          <w:rFonts w:ascii="Times New Roman" w:hAnsi="Times New Roman" w:cs="Times New Roman"/>
          <w:i/>
          <w:color w:val="000000"/>
          <w:sz w:val="28"/>
          <w:szCs w:val="28"/>
        </w:rPr>
        <w:t>dữ</w:t>
      </w:r>
      <w:proofErr w:type="spellEnd"/>
      <w:r w:rsidR="00521B80" w:rsidRPr="002D2EB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521B80" w:rsidRPr="002D2EBA">
        <w:rPr>
          <w:rFonts w:ascii="Times New Roman" w:hAnsi="Times New Roman" w:cs="Times New Roman"/>
          <w:i/>
          <w:color w:val="000000"/>
          <w:sz w:val="28"/>
          <w:szCs w:val="28"/>
        </w:rPr>
        <w:t>liệu</w:t>
      </w:r>
      <w:proofErr w:type="spellEnd"/>
      <w:r w:rsidR="00521B80" w:rsidRPr="00521B80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521B80" w:rsidRPr="002D2EB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64E75" w:rsidRPr="00521B80">
        <w:rPr>
          <w:rFonts w:ascii="Times New Roman" w:hAnsi="Times New Roman" w:cs="Times New Roman"/>
          <w:i/>
          <w:color w:val="000000"/>
          <w:sz w:val="28"/>
          <w:szCs w:val="28"/>
        </w:rPr>
        <w:t>…</w:t>
      </w:r>
    </w:p>
    <w:p w14:paraId="2882734F" w14:textId="77777777" w:rsidR="00B65450" w:rsidRDefault="00B65450" w:rsidP="004E39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8E6362" w14:textId="77777777" w:rsidR="002D2EBA" w:rsidRPr="002D2EBA" w:rsidRDefault="002D2EBA" w:rsidP="00B6545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r w:rsidR="00B654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5450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B65450" w:rsidRPr="002D2EBA">
        <w:rPr>
          <w:rFonts w:ascii="Times New Roman" w:eastAsia="Times New Roman" w:hAnsi="Times New Roman" w:cs="Times New Roman"/>
          <w:iCs/>
          <w:sz w:val="28"/>
          <w:szCs w:val="28"/>
        </w:rPr>
        <w:t>hông</w:t>
      </w:r>
      <w:proofErr w:type="spellEnd"/>
      <w:r w:rsidR="00B65450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65450" w:rsidRPr="002D2EBA">
        <w:rPr>
          <w:rFonts w:ascii="Times New Roman" w:eastAsia="Times New Roman" w:hAnsi="Times New Roman" w:cs="Times New Roman"/>
          <w:iCs/>
          <w:sz w:val="28"/>
          <w:szCs w:val="28"/>
        </w:rPr>
        <w:t>tư</w:t>
      </w:r>
      <w:proofErr w:type="spellEnd"/>
      <w:r w:rsidR="00B65450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65450" w:rsidRPr="002D2EBA">
        <w:rPr>
          <w:rFonts w:ascii="Times New Roman" w:eastAsia="Times New Roman" w:hAnsi="Times New Roman" w:cs="Times New Roman"/>
          <w:iCs/>
          <w:sz w:val="28"/>
          <w:szCs w:val="28"/>
        </w:rPr>
        <w:t>số</w:t>
      </w:r>
      <w:proofErr w:type="spellEnd"/>
      <w:r w:rsidR="00B65450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61/2023/TT-BTC</w:t>
      </w:r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: 10.000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trích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: 2.000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877D99" w14:textId="77777777" w:rsidR="002D2EBA" w:rsidRPr="002D2EBA" w:rsidRDefault="002D2EBA" w:rsidP="00521B8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61/2023/TT-BTC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trừ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khoán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Bù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trừ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khoán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Nam,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tàu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bay),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tàu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hằng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trọt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tạm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EA05A3" w14:textId="77777777" w:rsidR="002D2EBA" w:rsidRPr="002D2EBA" w:rsidRDefault="009304D5" w:rsidP="009304D5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hông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61/2023/TT-BTC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rõ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Trung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tiền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85%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tiền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trải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cung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Nghị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120/2016/NĐ-CP 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23/8/2016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phủ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tiết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lệ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bao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gồm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Cục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quốc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lastRenderedPageBreak/>
        <w:t>bảo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trải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duy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trì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Hệ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thống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trực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tuyến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dữ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biện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thuộc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15%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tiền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ngân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tiểu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mục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Mục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lục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ngân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E71AC1" w14:textId="77777777" w:rsidR="002D2EBA" w:rsidRDefault="009304D5" w:rsidP="009304D5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kê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sơ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74/2022/TT-BTC.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khoản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trực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tuyến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xuyên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sơ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Nghị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99/2022/NĐ-CP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lựa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chọn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từng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sơ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chậm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nhất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tiền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liền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kề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Chậm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nhất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gửi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tiền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khoản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chờ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nộp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ngân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phí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mở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Kho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bạc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2D2EBA" w:rsidRPr="002D2E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FA1E19" w14:textId="77777777" w:rsidR="009304D5" w:rsidRDefault="009304D5" w:rsidP="009304D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>Kết</w:t>
      </w:r>
      <w:proofErr w:type="spellEnd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>luận</w:t>
      </w:r>
      <w:proofErr w:type="spellEnd"/>
    </w:p>
    <w:p w14:paraId="3A61A9EE" w14:textId="77777777" w:rsidR="009304D5" w:rsidRPr="00E97606" w:rsidRDefault="009304D5" w:rsidP="00E97606">
      <w:pPr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9304D5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9304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4D5">
        <w:rPr>
          <w:rFonts w:ascii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9304D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61/2023/TT-BTC</w:t>
      </w:r>
      <w:r w:rsidR="00982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53B5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8E53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quy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định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mức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thu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chế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độ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thu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nộp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quản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lý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sử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dụng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phí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trong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lĩn</w:t>
      </w:r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h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vực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đăng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ký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giao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dịch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bảo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đảm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97606">
        <w:rPr>
          <w:rFonts w:ascii="Times New Roman" w:eastAsia="Times New Roman" w:hAnsi="Times New Roman" w:cs="Times New Roman"/>
          <w:iCs/>
          <w:sz w:val="28"/>
          <w:szCs w:val="28"/>
        </w:rPr>
        <w:t>t</w:t>
      </w:r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hông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tư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có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hiệu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lực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từ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>ngày</w:t>
      </w:r>
      <w:proofErr w:type="spellEnd"/>
      <w:r w:rsidR="00982B27" w:rsidRPr="002D2EBA">
        <w:rPr>
          <w:rFonts w:ascii="Times New Roman" w:eastAsia="Times New Roman" w:hAnsi="Times New Roman" w:cs="Times New Roman"/>
          <w:iCs/>
          <w:sz w:val="28"/>
          <w:szCs w:val="28"/>
        </w:rPr>
        <w:t xml:space="preserve"> 15/11/2023.</w:t>
      </w:r>
    </w:p>
    <w:p w14:paraId="4FC0EB3F" w14:textId="77777777" w:rsidR="009304D5" w:rsidRPr="009304D5" w:rsidRDefault="009304D5" w:rsidP="009304D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>Tài</w:t>
      </w:r>
      <w:proofErr w:type="spellEnd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>liệu</w:t>
      </w:r>
      <w:proofErr w:type="spellEnd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>tham</w:t>
      </w:r>
      <w:proofErr w:type="spellEnd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04D5">
        <w:rPr>
          <w:rFonts w:ascii="Times New Roman" w:hAnsi="Times New Roman" w:cs="Times New Roman"/>
          <w:b/>
          <w:color w:val="000000"/>
          <w:sz w:val="28"/>
          <w:szCs w:val="28"/>
        </w:rPr>
        <w:t>khảo</w:t>
      </w:r>
      <w:proofErr w:type="spellEnd"/>
    </w:p>
    <w:p w14:paraId="370DBD48" w14:textId="77777777" w:rsidR="009304D5" w:rsidRPr="009304D5" w:rsidRDefault="009304D5" w:rsidP="009304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EB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D2EBA">
        <w:rPr>
          <w:rFonts w:ascii="Times New Roman" w:hAnsi="Times New Roman" w:cs="Times New Roman"/>
          <w:color w:val="000000"/>
          <w:sz w:val="28"/>
          <w:szCs w:val="28"/>
        </w:rPr>
        <w:t xml:space="preserve"> 61/2023/TT-BTC</w:t>
      </w:r>
    </w:p>
    <w:p w14:paraId="2523547D" w14:textId="77777777" w:rsidR="008F3AF6" w:rsidRPr="00A02753" w:rsidRDefault="00B751FE" w:rsidP="004E39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F3AF6" w:rsidRPr="00A02753" w:rsidSect="00A9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114F9"/>
    <w:multiLevelType w:val="hybridMultilevel"/>
    <w:tmpl w:val="1A44F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BA"/>
    <w:rsid w:val="00053BB3"/>
    <w:rsid w:val="001B763D"/>
    <w:rsid w:val="00264E75"/>
    <w:rsid w:val="002D2EBA"/>
    <w:rsid w:val="004E3914"/>
    <w:rsid w:val="00521B80"/>
    <w:rsid w:val="008543B5"/>
    <w:rsid w:val="008E53B5"/>
    <w:rsid w:val="009304D5"/>
    <w:rsid w:val="0096494A"/>
    <w:rsid w:val="00982B27"/>
    <w:rsid w:val="00A02753"/>
    <w:rsid w:val="00A90EBD"/>
    <w:rsid w:val="00B65450"/>
    <w:rsid w:val="00B751FE"/>
    <w:rsid w:val="00E243B7"/>
    <w:rsid w:val="00E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3CF8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2EB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D2EB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EB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D2EBA"/>
    <w:rPr>
      <w:rFonts w:ascii="Times New Roman" w:hAnsi="Times New Roman" w:cs="Times New Roman"/>
      <w:b/>
      <w:bCs/>
      <w:sz w:val="36"/>
      <w:szCs w:val="36"/>
    </w:rPr>
  </w:style>
  <w:style w:type="character" w:customStyle="1" w:styleId="detailauthor">
    <w:name w:val="detail__author"/>
    <w:basedOn w:val="DefaultParagraphFont"/>
    <w:rsid w:val="002D2EBA"/>
  </w:style>
  <w:style w:type="character" w:customStyle="1" w:styleId="apple-converted-space">
    <w:name w:val="apple-converted-space"/>
    <w:basedOn w:val="DefaultParagraphFont"/>
    <w:rsid w:val="002D2EBA"/>
  </w:style>
  <w:style w:type="paragraph" w:styleId="NormalWeb">
    <w:name w:val="Normal (Web)"/>
    <w:basedOn w:val="Normal"/>
    <w:uiPriority w:val="99"/>
    <w:semiHidden/>
    <w:unhideWhenUsed/>
    <w:rsid w:val="002D2EB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3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2473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Bổ sung mức phí cấp mã số giao dịch bảo đảm</vt:lpstr>
      <vt:lpstr>ThS. Nguyễn Khánh Thu Hằng</vt:lpstr>
      <vt:lpstr>    </vt:lpstr>
      <vt:lpstr>    Tóm tắt</vt:lpstr>
      <vt:lpstr>    Bộ Tài chính vừa ban hành Thông tư số 61/2023/TT-BTC quy định mức thu, chế độ th</vt:lpstr>
      <vt:lpstr>    Từ khoá: Phí cấp mã, tra cứu dữ liệu, …</vt:lpstr>
      <vt:lpstr>    Như vậy, Thông tư số 61/2023/TT-BTC đã quy định mức thu, chế độ thu, nộp, quản l</vt:lpstr>
    </vt:vector>
  </TitlesOfParts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2023-10-16T01:44:00Z</dcterms:created>
  <dcterms:modified xsi:type="dcterms:W3CDTF">2023-10-16T01:52:00Z</dcterms:modified>
</cp:coreProperties>
</file>