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D5BFC" w14:textId="77777777" w:rsidR="00990458" w:rsidRPr="00E959C9" w:rsidRDefault="00990458" w:rsidP="00990458">
      <w:pPr>
        <w:shd w:val="clear" w:color="auto" w:fill="FFFFFF"/>
        <w:spacing w:after="0" w:line="240" w:lineRule="auto"/>
        <w:jc w:val="center"/>
        <w:rPr>
          <w:rFonts w:ascii="Times New Roman" w:eastAsia="Times New Roman" w:hAnsi="Times New Roman" w:cs="Times New Roman"/>
          <w:b/>
          <w:color w:val="363636"/>
          <w:sz w:val="26"/>
          <w:szCs w:val="26"/>
        </w:rPr>
      </w:pPr>
      <w:r w:rsidRPr="00990458">
        <w:rPr>
          <w:rFonts w:ascii="Times New Roman" w:eastAsia="Times New Roman" w:hAnsi="Times New Roman" w:cs="Times New Roman"/>
          <w:b/>
          <w:color w:val="363636"/>
          <w:sz w:val="26"/>
          <w:szCs w:val="26"/>
        </w:rPr>
        <w:t>SỰ KHÁC NHAU GIỮA CỔ PHIẾU VÀ TRÁI PHIẾU</w:t>
      </w:r>
    </w:p>
    <w:p w14:paraId="35CEBAB3" w14:textId="77777777" w:rsidR="00990458" w:rsidRPr="00990458" w:rsidRDefault="00990458" w:rsidP="00990458">
      <w:pPr>
        <w:shd w:val="clear" w:color="auto" w:fill="FFFFFF"/>
        <w:spacing w:after="0" w:line="240" w:lineRule="auto"/>
        <w:jc w:val="center"/>
        <w:rPr>
          <w:rFonts w:ascii="Times New Roman" w:eastAsia="Times New Roman" w:hAnsi="Times New Roman" w:cs="Times New Roman"/>
          <w:b/>
          <w:color w:val="363636"/>
          <w:sz w:val="26"/>
          <w:szCs w:val="26"/>
        </w:rPr>
      </w:pPr>
      <w:r w:rsidRPr="00990458">
        <w:rPr>
          <w:rFonts w:ascii="Times New Roman" w:eastAsia="Times New Roman" w:hAnsi="Times New Roman" w:cs="Times New Roman"/>
          <w:b/>
          <w:color w:val="363636"/>
          <w:sz w:val="26"/>
          <w:szCs w:val="26"/>
        </w:rPr>
        <w:t>MỘT SỐ LƯU Ý KHI ĐẦU TƯ TRÁI PHIẾU</w:t>
      </w:r>
    </w:p>
    <w:p w14:paraId="56DD2AEF" w14:textId="77777777" w:rsidR="00990458" w:rsidRPr="00E959C9" w:rsidRDefault="00990458" w:rsidP="00990458">
      <w:pPr>
        <w:shd w:val="clear" w:color="auto" w:fill="FFFFFF"/>
        <w:spacing w:after="0" w:line="240" w:lineRule="auto"/>
        <w:jc w:val="both"/>
        <w:rPr>
          <w:rFonts w:ascii="Times New Roman" w:eastAsia="Times New Roman" w:hAnsi="Times New Roman" w:cs="Times New Roman"/>
          <w:b/>
          <w:bCs/>
          <w:color w:val="363636"/>
          <w:sz w:val="26"/>
          <w:szCs w:val="26"/>
        </w:rPr>
      </w:pPr>
    </w:p>
    <w:p w14:paraId="7DC4FEB8" w14:textId="77777777" w:rsidR="00990458" w:rsidRPr="00990458" w:rsidRDefault="00990458" w:rsidP="00990458">
      <w:pPr>
        <w:shd w:val="clear" w:color="auto" w:fill="FFFFFF"/>
        <w:spacing w:after="0" w:line="240" w:lineRule="auto"/>
        <w:jc w:val="both"/>
        <w:rPr>
          <w:rFonts w:ascii="Times New Roman" w:eastAsia="Times New Roman" w:hAnsi="Times New Roman" w:cs="Times New Roman"/>
          <w:color w:val="363636"/>
          <w:sz w:val="26"/>
          <w:szCs w:val="26"/>
        </w:rPr>
      </w:pPr>
      <w:r w:rsidRPr="00990458">
        <w:rPr>
          <w:rFonts w:ascii="Times New Roman" w:eastAsia="Times New Roman" w:hAnsi="Times New Roman" w:cs="Times New Roman"/>
          <w:bCs/>
          <w:sz w:val="26"/>
          <w:szCs w:val="26"/>
        </w:rPr>
        <w:t>Nhà đầu tư chắc hẳn không còn xa lạ tới hai loại chứng khoán cực kỳ phổ biến trên thị trường hiện nay là </w:t>
      </w:r>
      <w:hyperlink r:id="rId4" w:history="1">
        <w:r w:rsidRPr="00E959C9">
          <w:rPr>
            <w:rFonts w:ascii="Times New Roman" w:eastAsia="Times New Roman" w:hAnsi="Times New Roman" w:cs="Times New Roman"/>
            <w:bCs/>
            <w:sz w:val="26"/>
            <w:szCs w:val="26"/>
            <w:u w:val="single"/>
          </w:rPr>
          <w:t>cổ phiếu</w:t>
        </w:r>
      </w:hyperlink>
      <w:r w:rsidRPr="00990458">
        <w:rPr>
          <w:rFonts w:ascii="Times New Roman" w:eastAsia="Times New Roman" w:hAnsi="Times New Roman" w:cs="Times New Roman"/>
          <w:bCs/>
          <w:sz w:val="26"/>
          <w:szCs w:val="26"/>
        </w:rPr>
        <w:t> và </w:t>
      </w:r>
      <w:hyperlink r:id="rId5" w:history="1">
        <w:r w:rsidRPr="00E959C9">
          <w:rPr>
            <w:rFonts w:ascii="Times New Roman" w:eastAsia="Times New Roman" w:hAnsi="Times New Roman" w:cs="Times New Roman"/>
            <w:bCs/>
            <w:sz w:val="26"/>
            <w:szCs w:val="26"/>
            <w:u w:val="single"/>
          </w:rPr>
          <w:t>trái phiếu</w:t>
        </w:r>
      </w:hyperlink>
      <w:r w:rsidRPr="00990458">
        <w:rPr>
          <w:rFonts w:ascii="Times New Roman" w:eastAsia="Times New Roman" w:hAnsi="Times New Roman" w:cs="Times New Roman"/>
          <w:bCs/>
          <w:sz w:val="26"/>
          <w:szCs w:val="26"/>
        </w:rPr>
        <w:t>.</w:t>
      </w:r>
      <w:r w:rsidRPr="00990458">
        <w:rPr>
          <w:rFonts w:ascii="Times New Roman" w:eastAsia="Times New Roman" w:hAnsi="Times New Roman" w:cs="Times New Roman"/>
          <w:sz w:val="26"/>
          <w:szCs w:val="26"/>
        </w:rPr>
        <w:t xml:space="preserve"> Hầu hết, các nhà đầu tư khi tham gia vào thị trường đều sẽ gặp </w:t>
      </w:r>
      <w:r w:rsidRPr="00990458">
        <w:rPr>
          <w:rFonts w:ascii="Times New Roman" w:eastAsia="Times New Roman" w:hAnsi="Times New Roman" w:cs="Times New Roman"/>
          <w:color w:val="363636"/>
          <w:sz w:val="26"/>
          <w:szCs w:val="26"/>
        </w:rPr>
        <w:t>phải tình huống phân vân không biết nên lựa chọn đầu tư vào “trái” hay “cổ”. Thực tế, thị trường ghi nhận có những nhà đầu tư chỉ đầu tư vào cổ phiếu, có những người chỉ trung thành với trái phiếu, hay có những trường hợp quyết định đầu tư vào cả hai. Vậy, hai loại “chứng” này có gì khác nhau và những tiêu chí nào giúp nhà đầu tư có thể dễ dàng phân biệt được rõ đâu là “cổ” đâu là “trái”?</w:t>
      </w:r>
    </w:p>
    <w:p w14:paraId="096CC844" w14:textId="77777777" w:rsidR="00990458" w:rsidRPr="00990458" w:rsidRDefault="00990458" w:rsidP="00990458">
      <w:pPr>
        <w:shd w:val="clear" w:color="auto" w:fill="FFFFFF"/>
        <w:spacing w:after="0" w:line="240" w:lineRule="auto"/>
        <w:rPr>
          <w:rFonts w:ascii="Times New Roman" w:eastAsia="Times New Roman" w:hAnsi="Times New Roman" w:cs="Times New Roman"/>
          <w:color w:val="363636"/>
          <w:sz w:val="26"/>
          <w:szCs w:val="26"/>
        </w:rPr>
      </w:pPr>
      <w:r w:rsidRPr="00E959C9">
        <w:rPr>
          <w:rFonts w:ascii="Times New Roman" w:eastAsia="Times New Roman" w:hAnsi="Times New Roman" w:cs="Times New Roman"/>
          <w:b/>
          <w:color w:val="363636"/>
          <w:sz w:val="26"/>
          <w:szCs w:val="26"/>
        </w:rPr>
        <w:t xml:space="preserve">1. </w:t>
      </w:r>
      <w:r w:rsidRPr="00E959C9">
        <w:rPr>
          <w:rFonts w:ascii="Times New Roman" w:eastAsia="Times New Roman" w:hAnsi="Times New Roman" w:cs="Times New Roman"/>
          <w:b/>
          <w:bCs/>
          <w:color w:val="363636"/>
          <w:sz w:val="26"/>
          <w:szCs w:val="26"/>
        </w:rPr>
        <w:t>Khái niệm cổ phiếu - T</w:t>
      </w:r>
      <w:r w:rsidRPr="00990458">
        <w:rPr>
          <w:rFonts w:ascii="Times New Roman" w:eastAsia="Times New Roman" w:hAnsi="Times New Roman" w:cs="Times New Roman"/>
          <w:b/>
          <w:bCs/>
          <w:color w:val="363636"/>
          <w:sz w:val="26"/>
          <w:szCs w:val="26"/>
        </w:rPr>
        <w:t>rái phiếu</w:t>
      </w:r>
    </w:p>
    <w:p w14:paraId="2D4B9014" w14:textId="77777777" w:rsidR="00990458" w:rsidRPr="00990458" w:rsidRDefault="00990458" w:rsidP="00990458">
      <w:pPr>
        <w:shd w:val="clear" w:color="auto" w:fill="FFFFFF"/>
        <w:spacing w:after="0" w:line="240" w:lineRule="auto"/>
        <w:jc w:val="both"/>
        <w:rPr>
          <w:rFonts w:ascii="Times New Roman" w:eastAsia="Times New Roman" w:hAnsi="Times New Roman" w:cs="Times New Roman"/>
          <w:color w:val="363636"/>
          <w:sz w:val="26"/>
          <w:szCs w:val="26"/>
        </w:rPr>
      </w:pPr>
      <w:r w:rsidRPr="00990458">
        <w:rPr>
          <w:rFonts w:ascii="Times New Roman" w:eastAsia="Times New Roman" w:hAnsi="Times New Roman" w:cs="Times New Roman"/>
          <w:b/>
          <w:bCs/>
          <w:color w:val="363636"/>
          <w:sz w:val="26"/>
          <w:szCs w:val="26"/>
        </w:rPr>
        <w:t>Trái phiếu</w:t>
      </w:r>
      <w:r w:rsidRPr="00990458">
        <w:rPr>
          <w:rFonts w:ascii="Times New Roman" w:eastAsia="Times New Roman" w:hAnsi="Times New Roman" w:cs="Times New Roman"/>
          <w:color w:val="363636"/>
          <w:sz w:val="26"/>
          <w:szCs w:val="26"/>
        </w:rPr>
        <w:t>: </w:t>
      </w:r>
      <w:r w:rsidRPr="00990458">
        <w:rPr>
          <w:rFonts w:ascii="Times New Roman" w:eastAsia="Times New Roman" w:hAnsi="Times New Roman" w:cs="Times New Roman"/>
          <w:color w:val="000000"/>
          <w:sz w:val="26"/>
          <w:szCs w:val="26"/>
          <w:shd w:val="clear" w:color="auto" w:fill="FFFFFF"/>
        </w:rPr>
        <w:t>loại chứng khoán xác nhận nghĩa vụ nợ của đơn vị phát hành (doanh nghiệp hoặc chính phủ) với người nắm giữ trái phiếu. Người sở hữu trái phiếu (hay còn được gọi là </w:t>
      </w:r>
      <w:r w:rsidRPr="00990458">
        <w:rPr>
          <w:rFonts w:ascii="Times New Roman" w:eastAsia="Times New Roman" w:hAnsi="Times New Roman" w:cs="Times New Roman"/>
          <w:b/>
          <w:bCs/>
          <w:color w:val="000000"/>
          <w:sz w:val="26"/>
          <w:szCs w:val="26"/>
          <w:shd w:val="clear" w:color="auto" w:fill="FFFFFF"/>
        </w:rPr>
        <w:t>trái chủ</w:t>
      </w:r>
      <w:r w:rsidRPr="00990458">
        <w:rPr>
          <w:rFonts w:ascii="Times New Roman" w:eastAsia="Times New Roman" w:hAnsi="Times New Roman" w:cs="Times New Roman"/>
          <w:color w:val="000000"/>
          <w:sz w:val="26"/>
          <w:szCs w:val="26"/>
          <w:shd w:val="clear" w:color="auto" w:fill="FFFFFF"/>
        </w:rPr>
        <w:t>) sẽ được chi trả một khoản tỷ lệ lợi suất nhất định và hoàn toàn không phụ thuộc vào tình hình kinh doanh của doanh nghiệp đó.</w:t>
      </w:r>
    </w:p>
    <w:p w14:paraId="46E30BA8" w14:textId="77777777" w:rsidR="00990458" w:rsidRPr="00990458" w:rsidRDefault="00990458" w:rsidP="00990458">
      <w:pPr>
        <w:shd w:val="clear" w:color="auto" w:fill="FFFFFF"/>
        <w:spacing w:after="0" w:line="240" w:lineRule="auto"/>
        <w:jc w:val="both"/>
        <w:rPr>
          <w:rFonts w:ascii="Times New Roman" w:eastAsia="Times New Roman" w:hAnsi="Times New Roman" w:cs="Times New Roman"/>
          <w:color w:val="363636"/>
          <w:sz w:val="26"/>
          <w:szCs w:val="26"/>
        </w:rPr>
      </w:pPr>
      <w:r w:rsidRPr="00990458">
        <w:rPr>
          <w:rFonts w:ascii="Times New Roman" w:eastAsia="Times New Roman" w:hAnsi="Times New Roman" w:cs="Times New Roman"/>
          <w:b/>
          <w:bCs/>
          <w:color w:val="363636"/>
          <w:sz w:val="26"/>
          <w:szCs w:val="26"/>
        </w:rPr>
        <w:t>Cổ phiếu: </w:t>
      </w:r>
      <w:r w:rsidRPr="00990458">
        <w:rPr>
          <w:rFonts w:ascii="Times New Roman" w:eastAsia="Times New Roman" w:hAnsi="Times New Roman" w:cs="Times New Roman"/>
          <w:color w:val="363636"/>
          <w:sz w:val="26"/>
          <w:szCs w:val="26"/>
        </w:rPr>
        <w:t>loại chứng khoán xác nhận quyền sở hữu và lợi ích của người nắm giữ cổ phiếu đối với một phần vốn cổ phần của doanh nghiệp phát hành. Không giống trái phiếu, các cổ đông có thể được hưởng cổ tức được chia (không cố định) và phụ thuộc hoàn toàn vào tình hình kinh doanh của doanh nghiệp.</w:t>
      </w:r>
    </w:p>
    <w:p w14:paraId="0F43154F" w14:textId="77777777" w:rsidR="00990458" w:rsidRPr="00990458" w:rsidRDefault="00990458" w:rsidP="00990458">
      <w:pPr>
        <w:shd w:val="clear" w:color="auto" w:fill="FFFFFF"/>
        <w:spacing w:after="0" w:line="240" w:lineRule="auto"/>
        <w:jc w:val="both"/>
        <w:rPr>
          <w:rFonts w:ascii="Times New Roman" w:eastAsia="Times New Roman" w:hAnsi="Times New Roman" w:cs="Times New Roman"/>
          <w:color w:val="363636"/>
          <w:sz w:val="26"/>
          <w:szCs w:val="26"/>
        </w:rPr>
      </w:pPr>
      <w:r w:rsidRPr="00990458">
        <w:rPr>
          <w:rFonts w:ascii="Times New Roman" w:eastAsia="Times New Roman" w:hAnsi="Times New Roman" w:cs="Times New Roman"/>
          <w:color w:val="363636"/>
          <w:sz w:val="26"/>
          <w:szCs w:val="26"/>
        </w:rPr>
        <w:t> </w:t>
      </w:r>
      <w:r w:rsidRPr="00E959C9">
        <w:rPr>
          <w:rFonts w:ascii="Times New Roman" w:eastAsia="Times New Roman" w:hAnsi="Times New Roman" w:cs="Times New Roman"/>
          <w:b/>
          <w:color w:val="363636"/>
          <w:sz w:val="26"/>
          <w:szCs w:val="26"/>
        </w:rPr>
        <w:t xml:space="preserve">2. </w:t>
      </w:r>
      <w:r w:rsidR="00E959C9" w:rsidRPr="00E959C9">
        <w:rPr>
          <w:rFonts w:ascii="Times New Roman" w:eastAsia="Times New Roman" w:hAnsi="Times New Roman" w:cs="Times New Roman"/>
          <w:b/>
          <w:bCs/>
          <w:color w:val="363636"/>
          <w:sz w:val="26"/>
          <w:szCs w:val="26"/>
        </w:rPr>
        <w:t>Phân biệt</w:t>
      </w:r>
      <w:r w:rsidRPr="00990458">
        <w:rPr>
          <w:rFonts w:ascii="Times New Roman" w:eastAsia="Times New Roman" w:hAnsi="Times New Roman" w:cs="Times New Roman"/>
          <w:b/>
          <w:bCs/>
          <w:color w:val="363636"/>
          <w:sz w:val="26"/>
          <w:szCs w:val="26"/>
        </w:rPr>
        <w:t xml:space="preserve"> “cổ phiếu” và “trái phiếu”</w:t>
      </w:r>
    </w:p>
    <w:p w14:paraId="1B95330C" w14:textId="77777777" w:rsidR="00990458" w:rsidRPr="00E959C9" w:rsidRDefault="00990458" w:rsidP="00990458">
      <w:pPr>
        <w:shd w:val="clear" w:color="auto" w:fill="FFFFFF"/>
        <w:spacing w:after="0" w:line="240" w:lineRule="auto"/>
        <w:jc w:val="both"/>
        <w:rPr>
          <w:rFonts w:ascii="Times New Roman" w:eastAsia="Times New Roman" w:hAnsi="Times New Roman" w:cs="Times New Roman"/>
          <w:color w:val="363636"/>
          <w:sz w:val="26"/>
          <w:szCs w:val="26"/>
        </w:rPr>
      </w:pPr>
      <w:r w:rsidRPr="00990458">
        <w:rPr>
          <w:rFonts w:ascii="Times New Roman" w:eastAsia="Times New Roman" w:hAnsi="Times New Roman" w:cs="Times New Roman"/>
          <w:color w:val="363636"/>
          <w:sz w:val="26"/>
          <w:szCs w:val="26"/>
        </w:rPr>
        <w:t>Nhìn chung, cổ phiếu và trái phiếu cũng có sự tương đồng với nhau về nhiều mặt. Trước hết, cả hai loại này đều là con đường được nhà phát hành lựa chọn tung ra nhằm mục đích thu hút vốn. Được thể hiện dưới nhiều hình thức như chứng chủ, dữ liệu điện tử, hoặc bút toán ghi sổ. Ngoài ra, nhà đầu tư được phép chuyển nhượng, mua bán và cầm cố đối với cả trái phiếu lẫn cổ phiếu. </w:t>
      </w:r>
    </w:p>
    <w:p w14:paraId="45D40171" w14:textId="77777777" w:rsidR="00E959C9" w:rsidRPr="00E959C9" w:rsidRDefault="00E959C9" w:rsidP="00990458">
      <w:pPr>
        <w:shd w:val="clear" w:color="auto" w:fill="FFFFFF"/>
        <w:spacing w:after="0" w:line="240" w:lineRule="auto"/>
        <w:jc w:val="both"/>
        <w:rPr>
          <w:rFonts w:ascii="Times New Roman" w:eastAsia="Times New Roman" w:hAnsi="Times New Roman" w:cs="Times New Roman"/>
          <w:b/>
          <w:color w:val="363636"/>
          <w:sz w:val="26"/>
          <w:szCs w:val="26"/>
        </w:rPr>
      </w:pPr>
      <w:r w:rsidRPr="00E959C9">
        <w:rPr>
          <w:rFonts w:ascii="Times New Roman" w:eastAsia="Times New Roman" w:hAnsi="Times New Roman" w:cs="Times New Roman"/>
          <w:b/>
          <w:color w:val="363636"/>
          <w:sz w:val="26"/>
          <w:szCs w:val="26"/>
        </w:rPr>
        <w:t>Giống nhau</w:t>
      </w:r>
    </w:p>
    <w:p w14:paraId="71481AB9" w14:textId="77777777" w:rsidR="00E959C9" w:rsidRPr="00E959C9" w:rsidRDefault="00E959C9" w:rsidP="00E959C9">
      <w:pPr>
        <w:pStyle w:val="ladi-headline"/>
        <w:spacing w:before="0" w:beforeAutospacing="0" w:after="0" w:afterAutospacing="0"/>
        <w:jc w:val="both"/>
        <w:textAlignment w:val="baseline"/>
        <w:rPr>
          <w:color w:val="424242"/>
          <w:sz w:val="26"/>
          <w:szCs w:val="26"/>
        </w:rPr>
      </w:pPr>
      <w:r w:rsidRPr="00E959C9">
        <w:rPr>
          <w:color w:val="424242"/>
          <w:sz w:val="26"/>
          <w:szCs w:val="26"/>
        </w:rPr>
        <w:t>Là hình thức chuyển nhượng, cầm cố, thế chấp, thừa kế;</w:t>
      </w:r>
    </w:p>
    <w:p w14:paraId="763620C4" w14:textId="77777777" w:rsidR="00E959C9" w:rsidRPr="00E959C9" w:rsidRDefault="00E959C9" w:rsidP="00E959C9">
      <w:pPr>
        <w:pStyle w:val="ladi-headline"/>
        <w:spacing w:before="0" w:beforeAutospacing="0" w:after="0" w:afterAutospacing="0"/>
        <w:jc w:val="both"/>
        <w:textAlignment w:val="baseline"/>
        <w:rPr>
          <w:color w:val="424242"/>
          <w:sz w:val="26"/>
          <w:szCs w:val="26"/>
        </w:rPr>
      </w:pPr>
      <w:r w:rsidRPr="00E959C9">
        <w:rPr>
          <w:color w:val="424242"/>
          <w:sz w:val="26"/>
          <w:szCs w:val="26"/>
        </w:rPr>
        <w:t>Đều là phương tiện huy động vốn đối với công ty phát hành;</w:t>
      </w:r>
    </w:p>
    <w:p w14:paraId="1593FF42" w14:textId="77777777" w:rsidR="00E959C9" w:rsidRPr="00E959C9" w:rsidRDefault="00E959C9" w:rsidP="00E959C9">
      <w:pPr>
        <w:pStyle w:val="ladi-headline"/>
        <w:spacing w:before="0" w:beforeAutospacing="0" w:after="0" w:afterAutospacing="0"/>
        <w:jc w:val="both"/>
        <w:textAlignment w:val="baseline"/>
        <w:rPr>
          <w:color w:val="424242"/>
          <w:sz w:val="26"/>
          <w:szCs w:val="26"/>
        </w:rPr>
      </w:pPr>
      <w:r w:rsidRPr="00E959C9">
        <w:rPr>
          <w:color w:val="424242"/>
          <w:sz w:val="26"/>
          <w:szCs w:val="26"/>
        </w:rPr>
        <w:t>Đều là công cụ đầu tư đối với nhà đầu tư;</w:t>
      </w:r>
    </w:p>
    <w:p w14:paraId="69B44AC9" w14:textId="77777777" w:rsidR="00E959C9" w:rsidRPr="00E959C9" w:rsidRDefault="00E959C9" w:rsidP="00E959C9">
      <w:pPr>
        <w:pStyle w:val="ladi-headline"/>
        <w:spacing w:before="0" w:beforeAutospacing="0" w:after="0" w:afterAutospacing="0"/>
        <w:jc w:val="both"/>
        <w:textAlignment w:val="baseline"/>
        <w:rPr>
          <w:color w:val="424242"/>
          <w:sz w:val="26"/>
          <w:szCs w:val="26"/>
        </w:rPr>
      </w:pPr>
      <w:r w:rsidRPr="00E959C9">
        <w:rPr>
          <w:color w:val="424242"/>
          <w:sz w:val="26"/>
          <w:szCs w:val="26"/>
        </w:rPr>
        <w:t>Đều được hưởng chênh lệch giá;</w:t>
      </w:r>
    </w:p>
    <w:p w14:paraId="44A5E99F" w14:textId="77777777" w:rsidR="00E959C9" w:rsidRPr="00E959C9" w:rsidRDefault="00E959C9" w:rsidP="00990458">
      <w:pPr>
        <w:shd w:val="clear" w:color="auto" w:fill="FFFFFF"/>
        <w:spacing w:after="0" w:line="240" w:lineRule="auto"/>
        <w:jc w:val="both"/>
        <w:rPr>
          <w:rFonts w:ascii="Times New Roman" w:eastAsia="Times New Roman" w:hAnsi="Times New Roman" w:cs="Times New Roman"/>
          <w:b/>
          <w:color w:val="363636"/>
          <w:sz w:val="26"/>
          <w:szCs w:val="26"/>
        </w:rPr>
      </w:pPr>
      <w:r w:rsidRPr="00E959C9">
        <w:rPr>
          <w:rFonts w:ascii="Times New Roman" w:eastAsia="Times New Roman" w:hAnsi="Times New Roman" w:cs="Times New Roman"/>
          <w:b/>
          <w:color w:val="363636"/>
          <w:sz w:val="26"/>
          <w:szCs w:val="26"/>
        </w:rPr>
        <w:t>Khác nhau</w:t>
      </w:r>
    </w:p>
    <w:tbl>
      <w:tblPr>
        <w:tblStyle w:val="TableGrid"/>
        <w:tblW w:w="10435" w:type="dxa"/>
        <w:tblLook w:val="04A0" w:firstRow="1" w:lastRow="0" w:firstColumn="1" w:lastColumn="0" w:noHBand="0" w:noVBand="1"/>
      </w:tblPr>
      <w:tblGrid>
        <w:gridCol w:w="4765"/>
        <w:gridCol w:w="5670"/>
      </w:tblGrid>
      <w:tr w:rsidR="00990458" w:rsidRPr="00E959C9" w14:paraId="7D7419D7" w14:textId="77777777" w:rsidTr="00E959C9">
        <w:tc>
          <w:tcPr>
            <w:tcW w:w="4765" w:type="dxa"/>
          </w:tcPr>
          <w:p w14:paraId="2C00421E" w14:textId="77777777" w:rsidR="00990458" w:rsidRPr="00E959C9" w:rsidRDefault="00990458" w:rsidP="00990458">
            <w:pPr>
              <w:jc w:val="both"/>
              <w:rPr>
                <w:rFonts w:ascii="Times New Roman" w:eastAsia="Times New Roman" w:hAnsi="Times New Roman" w:cs="Times New Roman"/>
                <w:color w:val="363636"/>
                <w:sz w:val="26"/>
                <w:szCs w:val="26"/>
              </w:rPr>
            </w:pPr>
            <w:r w:rsidRPr="00E959C9">
              <w:rPr>
                <w:rFonts w:ascii="Times New Roman" w:eastAsia="Times New Roman" w:hAnsi="Times New Roman" w:cs="Times New Roman"/>
                <w:color w:val="363636"/>
                <w:sz w:val="26"/>
                <w:szCs w:val="26"/>
              </w:rPr>
              <w:t xml:space="preserve">CỔ PHIẾU </w:t>
            </w:r>
          </w:p>
        </w:tc>
        <w:tc>
          <w:tcPr>
            <w:tcW w:w="5670" w:type="dxa"/>
          </w:tcPr>
          <w:p w14:paraId="20F54C12" w14:textId="77777777" w:rsidR="00990458" w:rsidRPr="00E959C9" w:rsidRDefault="00990458" w:rsidP="00990458">
            <w:pPr>
              <w:jc w:val="both"/>
              <w:rPr>
                <w:rFonts w:ascii="Times New Roman" w:eastAsia="Times New Roman" w:hAnsi="Times New Roman" w:cs="Times New Roman"/>
                <w:color w:val="363636"/>
                <w:sz w:val="26"/>
                <w:szCs w:val="26"/>
              </w:rPr>
            </w:pPr>
            <w:r w:rsidRPr="00E959C9">
              <w:rPr>
                <w:rFonts w:ascii="Times New Roman" w:eastAsia="Times New Roman" w:hAnsi="Times New Roman" w:cs="Times New Roman"/>
                <w:color w:val="363636"/>
                <w:sz w:val="26"/>
                <w:szCs w:val="26"/>
              </w:rPr>
              <w:t>TRÁI PHIẾU</w:t>
            </w:r>
          </w:p>
        </w:tc>
      </w:tr>
      <w:tr w:rsidR="00E959C9" w:rsidRPr="00E959C9" w14:paraId="5D1C0628" w14:textId="77777777" w:rsidTr="00E959C9">
        <w:tc>
          <w:tcPr>
            <w:tcW w:w="4765" w:type="dxa"/>
          </w:tcPr>
          <w:p w14:paraId="6A103BFF" w14:textId="77777777" w:rsidR="00E959C9" w:rsidRPr="00E959C9" w:rsidRDefault="00E959C9" w:rsidP="00E959C9">
            <w:pPr>
              <w:pStyle w:val="ladi-paragraph"/>
              <w:spacing w:after="0"/>
              <w:textAlignment w:val="baseline"/>
              <w:rPr>
                <w:color w:val="000000"/>
                <w:sz w:val="26"/>
                <w:szCs w:val="26"/>
              </w:rPr>
            </w:pPr>
            <w:r w:rsidRPr="00E959C9">
              <w:rPr>
                <w:color w:val="000000"/>
                <w:sz w:val="26"/>
                <w:szCs w:val="26"/>
              </w:rPr>
              <w:t>- Là chứng chỉ góp vốn, người sở hữu là cổ đông</w:t>
            </w:r>
            <w:r w:rsidRPr="00E959C9">
              <w:rPr>
                <w:color w:val="000000"/>
                <w:sz w:val="26"/>
                <w:szCs w:val="26"/>
              </w:rPr>
              <w:br/>
              <w:t>- Không có lãi suất</w:t>
            </w:r>
            <w:r w:rsidRPr="00E959C9">
              <w:rPr>
                <w:color w:val="000000"/>
                <w:sz w:val="26"/>
                <w:szCs w:val="26"/>
              </w:rPr>
              <w:br/>
              <w:t>- Không có thời hạn, nó gắn liền với sự tồn tại của công ty</w:t>
            </w:r>
            <w:r w:rsidRPr="00E959C9">
              <w:rPr>
                <w:color w:val="000000"/>
                <w:sz w:val="26"/>
                <w:szCs w:val="26"/>
              </w:rPr>
              <w:br/>
              <w:t>- Độ rủi ro cao</w:t>
            </w:r>
            <w:r w:rsidRPr="00E959C9">
              <w:rPr>
                <w:color w:val="000000"/>
                <w:sz w:val="26"/>
                <w:szCs w:val="26"/>
              </w:rPr>
              <w:br/>
              <w:t>- Không được rút vốn trực tiếp </w:t>
            </w:r>
            <w:r w:rsidRPr="00E959C9">
              <w:rPr>
                <w:color w:val="000000"/>
                <w:sz w:val="26"/>
                <w:szCs w:val="26"/>
              </w:rPr>
              <w:br/>
              <w:t>- Do các doanh nghiệp cổ phần phát hành</w:t>
            </w:r>
            <w:r w:rsidRPr="00E959C9">
              <w:rPr>
                <w:color w:val="000000"/>
                <w:sz w:val="26"/>
                <w:szCs w:val="26"/>
              </w:rPr>
              <w:br/>
              <w:t>- Không có tính chuyển đổi thành Cổ phiếu</w:t>
            </w:r>
          </w:p>
        </w:tc>
        <w:tc>
          <w:tcPr>
            <w:tcW w:w="5670" w:type="dxa"/>
          </w:tcPr>
          <w:p w14:paraId="0BDA9F40" w14:textId="77777777" w:rsidR="00E959C9" w:rsidRPr="00E959C9" w:rsidRDefault="00E959C9" w:rsidP="00E959C9">
            <w:pPr>
              <w:rPr>
                <w:rFonts w:ascii="Times New Roman" w:hAnsi="Times New Roman" w:cs="Times New Roman"/>
                <w:sz w:val="26"/>
                <w:szCs w:val="26"/>
              </w:rPr>
            </w:pPr>
            <w:r w:rsidRPr="00E959C9">
              <w:rPr>
                <w:rFonts w:ascii="Times New Roman" w:hAnsi="Times New Roman" w:cs="Times New Roman"/>
                <w:color w:val="000000"/>
                <w:sz w:val="26"/>
                <w:szCs w:val="26"/>
              </w:rPr>
              <w:t>- Là chứng chỉ ghi nhận nợ, người sở hữu là chủ nợ</w:t>
            </w:r>
            <w:r w:rsidRPr="00E959C9">
              <w:rPr>
                <w:rFonts w:ascii="Times New Roman" w:hAnsi="Times New Roman" w:cs="Times New Roman"/>
                <w:color w:val="000000"/>
                <w:sz w:val="26"/>
                <w:szCs w:val="26"/>
              </w:rPr>
              <w:br/>
              <w:t>- Chủ nợ không có quyền tham gia và hoạt động của công ty</w:t>
            </w:r>
            <w:r w:rsidRPr="00E959C9">
              <w:rPr>
                <w:rFonts w:ascii="Times New Roman" w:hAnsi="Times New Roman" w:cs="Times New Roman"/>
                <w:color w:val="000000"/>
                <w:sz w:val="26"/>
                <w:szCs w:val="26"/>
              </w:rPr>
              <w:br/>
              <w:t>- Có thời hạn nhất định</w:t>
            </w:r>
            <w:r w:rsidRPr="00E959C9">
              <w:rPr>
                <w:rFonts w:ascii="Times New Roman" w:hAnsi="Times New Roman" w:cs="Times New Roman"/>
                <w:color w:val="000000"/>
                <w:sz w:val="26"/>
                <w:szCs w:val="26"/>
              </w:rPr>
              <w:br/>
              <w:t>- Được rút trước kì hạn</w:t>
            </w:r>
            <w:r w:rsidRPr="00E959C9">
              <w:rPr>
                <w:rFonts w:ascii="Times New Roman" w:hAnsi="Times New Roman" w:cs="Times New Roman"/>
                <w:color w:val="000000"/>
                <w:sz w:val="26"/>
                <w:szCs w:val="26"/>
              </w:rPr>
              <w:br/>
              <w:t>- Thường ít rủi ro, rủi ro phụ thuộc vào độ an toàn của Doanh nghiệp</w:t>
            </w:r>
            <w:r w:rsidRPr="00E959C9">
              <w:rPr>
                <w:rFonts w:ascii="Times New Roman" w:hAnsi="Times New Roman" w:cs="Times New Roman"/>
                <w:color w:val="000000"/>
                <w:sz w:val="26"/>
                <w:szCs w:val="26"/>
              </w:rPr>
              <w:br/>
              <w:t>- Do các doanh nghiệp và chính phủ phát hành</w:t>
            </w:r>
            <w:r w:rsidRPr="00E959C9">
              <w:rPr>
                <w:rFonts w:ascii="Times New Roman" w:hAnsi="Times New Roman" w:cs="Times New Roman"/>
                <w:color w:val="000000"/>
                <w:sz w:val="26"/>
                <w:szCs w:val="26"/>
              </w:rPr>
              <w:br/>
              <w:t>- Có thể chuyển đổi thành cổ phiếu</w:t>
            </w:r>
          </w:p>
        </w:tc>
      </w:tr>
    </w:tbl>
    <w:p w14:paraId="1725174F" w14:textId="77777777" w:rsidR="00990458" w:rsidRPr="00990458" w:rsidRDefault="00990458" w:rsidP="00E959C9">
      <w:pPr>
        <w:shd w:val="clear" w:color="auto" w:fill="FFFFFF"/>
        <w:spacing w:after="0" w:line="240" w:lineRule="auto"/>
        <w:jc w:val="both"/>
        <w:outlineLvl w:val="1"/>
        <w:rPr>
          <w:rFonts w:ascii="Times New Roman" w:eastAsia="Times New Roman" w:hAnsi="Times New Roman" w:cs="Times New Roman"/>
          <w:color w:val="363636"/>
          <w:sz w:val="26"/>
          <w:szCs w:val="26"/>
        </w:rPr>
      </w:pPr>
      <w:r w:rsidRPr="00990458">
        <w:rPr>
          <w:rFonts w:ascii="Times New Roman" w:eastAsia="Times New Roman" w:hAnsi="Times New Roman" w:cs="Times New Roman"/>
          <w:b/>
          <w:bCs/>
          <w:color w:val="363636"/>
          <w:sz w:val="26"/>
          <w:szCs w:val="26"/>
        </w:rPr>
        <w:t>Những lưu ý khi đầu tư trái phiếu</w:t>
      </w:r>
    </w:p>
    <w:p w14:paraId="04FBDEF6" w14:textId="77777777" w:rsidR="00990458" w:rsidRPr="00990458" w:rsidRDefault="00990458" w:rsidP="00990458">
      <w:pPr>
        <w:shd w:val="clear" w:color="auto" w:fill="FFFFFF"/>
        <w:spacing w:after="0" w:line="240" w:lineRule="auto"/>
        <w:jc w:val="both"/>
        <w:rPr>
          <w:rFonts w:ascii="Times New Roman" w:eastAsia="Times New Roman" w:hAnsi="Times New Roman" w:cs="Times New Roman"/>
          <w:color w:val="363636"/>
          <w:sz w:val="26"/>
          <w:szCs w:val="26"/>
        </w:rPr>
      </w:pPr>
      <w:r w:rsidRPr="00990458">
        <w:rPr>
          <w:rFonts w:ascii="Times New Roman" w:eastAsia="Times New Roman" w:hAnsi="Times New Roman" w:cs="Times New Roman"/>
          <w:color w:val="363636"/>
          <w:sz w:val="26"/>
          <w:szCs w:val="26"/>
        </w:rPr>
        <w:t>Tuy mức độ rủi ro khi đầu tư vào trái phiếu là không cao nhưng các nhà đầu tư vẫn tuyệt đối phải nắm chắc các thông tin sau đây để tránh việc lựa chọn sai trong quá trình đầu tư trái phiếu, đem lại thiệt hại về mặt giá trị tài sản.</w:t>
      </w:r>
    </w:p>
    <w:p w14:paraId="4DA52BC1" w14:textId="5747ACD2" w:rsidR="00AC043A" w:rsidRDefault="00990458" w:rsidP="00E959C9">
      <w:pPr>
        <w:shd w:val="clear" w:color="auto" w:fill="FFFFFF"/>
        <w:spacing w:after="0" w:line="240" w:lineRule="auto"/>
        <w:jc w:val="both"/>
        <w:rPr>
          <w:rFonts w:ascii="Times New Roman" w:eastAsia="Times New Roman" w:hAnsi="Times New Roman" w:cs="Times New Roman"/>
          <w:color w:val="363636"/>
          <w:sz w:val="26"/>
          <w:szCs w:val="26"/>
        </w:rPr>
      </w:pPr>
      <w:r w:rsidRPr="00990458">
        <w:rPr>
          <w:rFonts w:ascii="Times New Roman" w:eastAsia="Times New Roman" w:hAnsi="Times New Roman" w:cs="Times New Roman"/>
          <w:color w:val="363636"/>
          <w:sz w:val="26"/>
          <w:szCs w:val="26"/>
        </w:rPr>
        <w:t>Đối với trái phiếu doanh nghiệp, nhà đầu tư nên tìm hiểu rõ các thông tin cơ bản bao gồm đơn vị phát hành, loại hình trái phiếu, mục đích phát hành, điều khoản chuyển đổi, và lợi tức / kỳ hạn trả lãi, trước khi đưa ra quyết định có nên mua trái phiếu của doanh nghiệp đó hay không. </w:t>
      </w:r>
    </w:p>
    <w:p w14:paraId="73BDCC7A" w14:textId="535A5C81" w:rsidR="004218C1" w:rsidRDefault="004218C1" w:rsidP="00E959C9">
      <w:pPr>
        <w:shd w:val="clear" w:color="auto" w:fill="FFFFFF"/>
        <w:spacing w:after="0" w:line="240" w:lineRule="auto"/>
        <w:jc w:val="both"/>
        <w:rPr>
          <w:rFonts w:ascii="Times New Roman" w:eastAsia="Times New Roman" w:hAnsi="Times New Roman" w:cs="Times New Roman"/>
          <w:color w:val="363636"/>
          <w:sz w:val="26"/>
          <w:szCs w:val="26"/>
        </w:rPr>
      </w:pPr>
    </w:p>
    <w:p w14:paraId="4C9BA830" w14:textId="0A9025CA" w:rsidR="004218C1" w:rsidRDefault="004218C1" w:rsidP="00E959C9">
      <w:pPr>
        <w:shd w:val="clear" w:color="auto" w:fill="FFFFFF"/>
        <w:spacing w:after="0" w:line="240" w:lineRule="auto"/>
        <w:jc w:val="both"/>
        <w:rPr>
          <w:rFonts w:ascii="Times New Roman" w:eastAsia="Times New Roman" w:hAnsi="Times New Roman" w:cs="Times New Roman"/>
          <w:color w:val="363636"/>
          <w:sz w:val="26"/>
          <w:szCs w:val="26"/>
        </w:rPr>
      </w:pPr>
    </w:p>
    <w:p w14:paraId="57065C85" w14:textId="2A18459E" w:rsidR="004218C1" w:rsidRDefault="004218C1" w:rsidP="00E959C9">
      <w:pPr>
        <w:shd w:val="clear" w:color="auto" w:fill="FFFFFF"/>
        <w:spacing w:after="0" w:line="240" w:lineRule="auto"/>
        <w:jc w:val="both"/>
        <w:rPr>
          <w:rFonts w:ascii="Times New Roman" w:eastAsia="Times New Roman" w:hAnsi="Times New Roman" w:cs="Times New Roman"/>
          <w:color w:val="363636"/>
          <w:sz w:val="26"/>
          <w:szCs w:val="26"/>
        </w:rPr>
      </w:pPr>
    </w:p>
    <w:p w14:paraId="00337613" w14:textId="514568CE" w:rsidR="004218C1" w:rsidRDefault="004218C1" w:rsidP="00E959C9">
      <w:pPr>
        <w:shd w:val="clear" w:color="auto" w:fill="FFFFFF"/>
        <w:spacing w:after="0" w:line="240" w:lineRule="auto"/>
        <w:jc w:val="both"/>
        <w:rPr>
          <w:rFonts w:ascii="Times New Roman" w:eastAsia="Times New Roman" w:hAnsi="Times New Roman" w:cs="Times New Roman"/>
          <w:color w:val="363636"/>
          <w:sz w:val="26"/>
          <w:szCs w:val="26"/>
        </w:rPr>
      </w:pPr>
    </w:p>
    <w:p w14:paraId="6ED27FA0" w14:textId="1C770EB8" w:rsidR="004218C1" w:rsidRDefault="004218C1" w:rsidP="00E959C9">
      <w:pPr>
        <w:shd w:val="clear" w:color="auto" w:fill="FFFFFF"/>
        <w:spacing w:after="0" w:line="240" w:lineRule="auto"/>
        <w:jc w:val="both"/>
        <w:rPr>
          <w:rFonts w:ascii="Times New Roman" w:eastAsia="Times New Roman" w:hAnsi="Times New Roman" w:cs="Times New Roman"/>
          <w:color w:val="363636"/>
          <w:sz w:val="26"/>
          <w:szCs w:val="26"/>
        </w:rPr>
      </w:pPr>
    </w:p>
    <w:p w14:paraId="1E7C6A69" w14:textId="260AEF26" w:rsidR="004218C1" w:rsidRDefault="004218C1" w:rsidP="00E959C9">
      <w:pPr>
        <w:shd w:val="clear" w:color="auto" w:fill="FFFFFF"/>
        <w:spacing w:after="0" w:line="240" w:lineRule="auto"/>
        <w:jc w:val="both"/>
        <w:rPr>
          <w:rFonts w:ascii="Times New Roman" w:eastAsia="Times New Roman" w:hAnsi="Times New Roman" w:cs="Times New Roman"/>
          <w:color w:val="363636"/>
          <w:sz w:val="26"/>
          <w:szCs w:val="26"/>
        </w:rPr>
      </w:pPr>
    </w:p>
    <w:p w14:paraId="0C8556B4" w14:textId="725BFF52" w:rsidR="004218C1" w:rsidRDefault="004218C1" w:rsidP="00E959C9">
      <w:pPr>
        <w:shd w:val="clear" w:color="auto" w:fill="FFFFFF"/>
        <w:spacing w:after="0" w:line="240" w:lineRule="auto"/>
        <w:jc w:val="both"/>
        <w:rPr>
          <w:rFonts w:ascii="Times New Roman" w:eastAsia="Times New Roman" w:hAnsi="Times New Roman" w:cs="Times New Roman"/>
          <w:color w:val="363636"/>
          <w:sz w:val="26"/>
          <w:szCs w:val="26"/>
        </w:rPr>
      </w:pPr>
    </w:p>
    <w:p w14:paraId="4E5ED504" w14:textId="271EC768" w:rsidR="004218C1" w:rsidRDefault="004218C1" w:rsidP="00E959C9">
      <w:pPr>
        <w:shd w:val="clear" w:color="auto" w:fill="FFFFFF"/>
        <w:spacing w:after="0" w:line="240" w:lineRule="auto"/>
        <w:jc w:val="both"/>
        <w:rPr>
          <w:rFonts w:ascii="Times New Roman" w:eastAsia="Times New Roman" w:hAnsi="Times New Roman" w:cs="Times New Roman"/>
          <w:color w:val="363636"/>
          <w:sz w:val="26"/>
          <w:szCs w:val="26"/>
        </w:rPr>
      </w:pPr>
    </w:p>
    <w:p w14:paraId="62D4A929" w14:textId="136A7592" w:rsidR="004218C1" w:rsidRDefault="004218C1" w:rsidP="00E959C9">
      <w:pPr>
        <w:shd w:val="clear" w:color="auto" w:fill="FFFFFF"/>
        <w:spacing w:after="0" w:line="240" w:lineRule="auto"/>
        <w:jc w:val="both"/>
        <w:rPr>
          <w:rFonts w:ascii="Times New Roman" w:eastAsia="Times New Roman" w:hAnsi="Times New Roman" w:cs="Times New Roman"/>
          <w:color w:val="363636"/>
          <w:sz w:val="26"/>
          <w:szCs w:val="26"/>
        </w:rPr>
      </w:pPr>
    </w:p>
    <w:p w14:paraId="762D1630" w14:textId="3AB91976" w:rsidR="004218C1" w:rsidRDefault="004218C1" w:rsidP="00E959C9">
      <w:pPr>
        <w:shd w:val="clear" w:color="auto" w:fill="FFFFFF"/>
        <w:spacing w:after="0" w:line="240" w:lineRule="auto"/>
        <w:jc w:val="both"/>
        <w:rPr>
          <w:rFonts w:ascii="Times New Roman" w:eastAsia="Times New Roman" w:hAnsi="Times New Roman" w:cs="Times New Roman"/>
          <w:color w:val="363636"/>
          <w:sz w:val="26"/>
          <w:szCs w:val="26"/>
        </w:rPr>
      </w:pPr>
    </w:p>
    <w:p w14:paraId="6A129E9A" w14:textId="675B78DF" w:rsidR="004218C1" w:rsidRDefault="004218C1" w:rsidP="00E959C9">
      <w:pPr>
        <w:shd w:val="clear" w:color="auto" w:fill="FFFFFF"/>
        <w:spacing w:after="0" w:line="240" w:lineRule="auto"/>
        <w:jc w:val="both"/>
        <w:rPr>
          <w:rFonts w:ascii="Times New Roman" w:eastAsia="Times New Roman" w:hAnsi="Times New Roman" w:cs="Times New Roman"/>
          <w:color w:val="363636"/>
          <w:sz w:val="26"/>
          <w:szCs w:val="26"/>
        </w:rPr>
      </w:pPr>
    </w:p>
    <w:p w14:paraId="3B38F7AD" w14:textId="13827A92" w:rsidR="004218C1" w:rsidRDefault="004218C1" w:rsidP="00E959C9">
      <w:pPr>
        <w:shd w:val="clear" w:color="auto" w:fill="FFFFFF"/>
        <w:spacing w:after="0" w:line="240" w:lineRule="auto"/>
        <w:jc w:val="both"/>
        <w:rPr>
          <w:rFonts w:ascii="Times New Roman" w:eastAsia="Times New Roman" w:hAnsi="Times New Roman" w:cs="Times New Roman"/>
          <w:color w:val="363636"/>
          <w:sz w:val="26"/>
          <w:szCs w:val="26"/>
        </w:rPr>
      </w:pPr>
    </w:p>
    <w:p w14:paraId="0FA4FAE6" w14:textId="473A0473" w:rsidR="004218C1" w:rsidRDefault="004218C1" w:rsidP="00E959C9">
      <w:pPr>
        <w:shd w:val="clear" w:color="auto" w:fill="FFFFFF"/>
        <w:spacing w:after="0" w:line="240" w:lineRule="auto"/>
        <w:jc w:val="both"/>
        <w:rPr>
          <w:rFonts w:ascii="Times New Roman" w:eastAsia="Times New Roman" w:hAnsi="Times New Roman" w:cs="Times New Roman"/>
          <w:color w:val="363636"/>
          <w:sz w:val="26"/>
          <w:szCs w:val="26"/>
        </w:rPr>
      </w:pPr>
    </w:p>
    <w:p w14:paraId="17C980C7" w14:textId="77777777" w:rsidR="004218C1" w:rsidRPr="00E959C9" w:rsidRDefault="004218C1" w:rsidP="00E959C9">
      <w:pPr>
        <w:shd w:val="clear" w:color="auto" w:fill="FFFFFF"/>
        <w:spacing w:after="0" w:line="240" w:lineRule="auto"/>
        <w:jc w:val="both"/>
        <w:rPr>
          <w:rFonts w:ascii="Times New Roman" w:hAnsi="Times New Roman" w:cs="Times New Roman"/>
          <w:sz w:val="26"/>
          <w:szCs w:val="26"/>
        </w:rPr>
      </w:pPr>
    </w:p>
    <w:sectPr w:rsidR="004218C1" w:rsidRPr="00E959C9" w:rsidSect="00E959C9">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458"/>
    <w:rsid w:val="004218C1"/>
    <w:rsid w:val="00990458"/>
    <w:rsid w:val="00AC043A"/>
    <w:rsid w:val="00E95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CDCA7"/>
  <w15:chartTrackingRefBased/>
  <w15:docId w15:val="{BAD912D6-FA47-4CF8-9A7B-5D6BABD79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904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904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959C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045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9045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904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90458"/>
    <w:rPr>
      <w:color w:val="0000FF"/>
      <w:u w:val="single"/>
    </w:rPr>
  </w:style>
  <w:style w:type="paragraph" w:styleId="ListParagraph">
    <w:name w:val="List Paragraph"/>
    <w:basedOn w:val="Normal"/>
    <w:uiPriority w:val="34"/>
    <w:qFormat/>
    <w:rsid w:val="00990458"/>
    <w:pPr>
      <w:ind w:left="720"/>
      <w:contextualSpacing/>
    </w:pPr>
  </w:style>
  <w:style w:type="table" w:styleId="TableGrid">
    <w:name w:val="Table Grid"/>
    <w:basedOn w:val="TableNormal"/>
    <w:uiPriority w:val="39"/>
    <w:rsid w:val="00990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E959C9"/>
    <w:rPr>
      <w:rFonts w:asciiTheme="majorHAnsi" w:eastAsiaTheme="majorEastAsia" w:hAnsiTheme="majorHAnsi" w:cstheme="majorBidi"/>
      <w:i/>
      <w:iCs/>
      <w:color w:val="2E74B5" w:themeColor="accent1" w:themeShade="BF"/>
    </w:rPr>
  </w:style>
  <w:style w:type="paragraph" w:customStyle="1" w:styleId="ladi-headline">
    <w:name w:val="ladi-headline"/>
    <w:basedOn w:val="Normal"/>
    <w:rsid w:val="00E959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di-paragraph">
    <w:name w:val="ladi-paragraph"/>
    <w:basedOn w:val="Normal"/>
    <w:rsid w:val="00E959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849774">
      <w:bodyDiv w:val="1"/>
      <w:marLeft w:val="0"/>
      <w:marRight w:val="0"/>
      <w:marTop w:val="0"/>
      <w:marBottom w:val="0"/>
      <w:divBdr>
        <w:top w:val="none" w:sz="0" w:space="0" w:color="auto"/>
        <w:left w:val="none" w:sz="0" w:space="0" w:color="auto"/>
        <w:bottom w:val="none" w:sz="0" w:space="0" w:color="auto"/>
        <w:right w:val="none" w:sz="0" w:space="0" w:color="auto"/>
      </w:divBdr>
      <w:divsChild>
        <w:div w:id="1332558722">
          <w:marLeft w:val="0"/>
          <w:marRight w:val="0"/>
          <w:marTop w:val="0"/>
          <w:marBottom w:val="0"/>
          <w:divBdr>
            <w:top w:val="none" w:sz="0" w:space="0" w:color="auto"/>
            <w:left w:val="none" w:sz="0" w:space="0" w:color="auto"/>
            <w:bottom w:val="none" w:sz="0" w:space="0" w:color="auto"/>
            <w:right w:val="none" w:sz="0" w:space="0" w:color="auto"/>
          </w:divBdr>
          <w:divsChild>
            <w:div w:id="1991669367">
              <w:marLeft w:val="0"/>
              <w:marRight w:val="0"/>
              <w:marTop w:val="0"/>
              <w:marBottom w:val="0"/>
              <w:divBdr>
                <w:top w:val="none" w:sz="0" w:space="0" w:color="auto"/>
                <w:left w:val="none" w:sz="0" w:space="0" w:color="auto"/>
                <w:bottom w:val="none" w:sz="0" w:space="0" w:color="auto"/>
                <w:right w:val="none" w:sz="0" w:space="0" w:color="auto"/>
              </w:divBdr>
              <w:divsChild>
                <w:div w:id="736829788">
                  <w:marLeft w:val="0"/>
                  <w:marRight w:val="0"/>
                  <w:marTop w:val="0"/>
                  <w:marBottom w:val="0"/>
                  <w:divBdr>
                    <w:top w:val="none" w:sz="0" w:space="0" w:color="auto"/>
                    <w:left w:val="none" w:sz="0" w:space="0" w:color="auto"/>
                    <w:bottom w:val="none" w:sz="0" w:space="0" w:color="auto"/>
                    <w:right w:val="none" w:sz="0" w:space="0" w:color="auto"/>
                  </w:divBdr>
                  <w:divsChild>
                    <w:div w:id="590432179">
                      <w:marLeft w:val="0"/>
                      <w:marRight w:val="0"/>
                      <w:marTop w:val="0"/>
                      <w:marBottom w:val="0"/>
                      <w:divBdr>
                        <w:top w:val="none" w:sz="0" w:space="0" w:color="auto"/>
                        <w:left w:val="none" w:sz="0" w:space="0" w:color="auto"/>
                        <w:bottom w:val="none" w:sz="0" w:space="0" w:color="auto"/>
                        <w:right w:val="none" w:sz="0" w:space="0" w:color="auto"/>
                      </w:divBdr>
                      <w:divsChild>
                        <w:div w:id="189064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82229">
                  <w:marLeft w:val="0"/>
                  <w:marRight w:val="0"/>
                  <w:marTop w:val="0"/>
                  <w:marBottom w:val="0"/>
                  <w:divBdr>
                    <w:top w:val="none" w:sz="0" w:space="0" w:color="auto"/>
                    <w:left w:val="none" w:sz="0" w:space="0" w:color="auto"/>
                    <w:bottom w:val="none" w:sz="0" w:space="0" w:color="auto"/>
                    <w:right w:val="none" w:sz="0" w:space="0" w:color="auto"/>
                  </w:divBdr>
                  <w:divsChild>
                    <w:div w:id="621767687">
                      <w:marLeft w:val="0"/>
                      <w:marRight w:val="0"/>
                      <w:marTop w:val="0"/>
                      <w:marBottom w:val="0"/>
                      <w:divBdr>
                        <w:top w:val="none" w:sz="0" w:space="0" w:color="auto"/>
                        <w:left w:val="none" w:sz="0" w:space="0" w:color="auto"/>
                        <w:bottom w:val="none" w:sz="0" w:space="0" w:color="auto"/>
                        <w:right w:val="none" w:sz="0" w:space="0" w:color="auto"/>
                      </w:divBdr>
                      <w:divsChild>
                        <w:div w:id="15286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14328">
                  <w:marLeft w:val="0"/>
                  <w:marRight w:val="0"/>
                  <w:marTop w:val="0"/>
                  <w:marBottom w:val="0"/>
                  <w:divBdr>
                    <w:top w:val="none" w:sz="0" w:space="0" w:color="auto"/>
                    <w:left w:val="none" w:sz="0" w:space="0" w:color="auto"/>
                    <w:bottom w:val="none" w:sz="0" w:space="0" w:color="auto"/>
                    <w:right w:val="none" w:sz="0" w:space="0" w:color="auto"/>
                  </w:divBdr>
                </w:div>
                <w:div w:id="13383003">
                  <w:marLeft w:val="0"/>
                  <w:marRight w:val="0"/>
                  <w:marTop w:val="0"/>
                  <w:marBottom w:val="0"/>
                  <w:divBdr>
                    <w:top w:val="none" w:sz="0" w:space="0" w:color="auto"/>
                    <w:left w:val="none" w:sz="0" w:space="0" w:color="auto"/>
                    <w:bottom w:val="none" w:sz="0" w:space="0" w:color="auto"/>
                    <w:right w:val="none" w:sz="0" w:space="0" w:color="auto"/>
                  </w:divBdr>
                </w:div>
                <w:div w:id="38013166">
                  <w:marLeft w:val="0"/>
                  <w:marRight w:val="0"/>
                  <w:marTop w:val="0"/>
                  <w:marBottom w:val="0"/>
                  <w:divBdr>
                    <w:top w:val="none" w:sz="0" w:space="0" w:color="auto"/>
                    <w:left w:val="none" w:sz="0" w:space="0" w:color="auto"/>
                    <w:bottom w:val="none" w:sz="0" w:space="0" w:color="auto"/>
                    <w:right w:val="none" w:sz="0" w:space="0" w:color="auto"/>
                  </w:divBdr>
                </w:div>
                <w:div w:id="303893977">
                  <w:marLeft w:val="0"/>
                  <w:marRight w:val="0"/>
                  <w:marTop w:val="0"/>
                  <w:marBottom w:val="0"/>
                  <w:divBdr>
                    <w:top w:val="none" w:sz="0" w:space="0" w:color="auto"/>
                    <w:left w:val="none" w:sz="0" w:space="0" w:color="auto"/>
                    <w:bottom w:val="none" w:sz="0" w:space="0" w:color="auto"/>
                    <w:right w:val="none" w:sz="0" w:space="0" w:color="auto"/>
                  </w:divBdr>
                </w:div>
                <w:div w:id="1980181043">
                  <w:marLeft w:val="0"/>
                  <w:marRight w:val="0"/>
                  <w:marTop w:val="0"/>
                  <w:marBottom w:val="0"/>
                  <w:divBdr>
                    <w:top w:val="none" w:sz="0" w:space="0" w:color="auto"/>
                    <w:left w:val="none" w:sz="0" w:space="0" w:color="auto"/>
                    <w:bottom w:val="none" w:sz="0" w:space="0" w:color="auto"/>
                    <w:right w:val="none" w:sz="0" w:space="0" w:color="auto"/>
                  </w:divBdr>
                  <w:divsChild>
                    <w:div w:id="2026129323">
                      <w:marLeft w:val="0"/>
                      <w:marRight w:val="0"/>
                      <w:marTop w:val="0"/>
                      <w:marBottom w:val="0"/>
                      <w:divBdr>
                        <w:top w:val="none" w:sz="0" w:space="0" w:color="auto"/>
                        <w:left w:val="none" w:sz="0" w:space="0" w:color="auto"/>
                        <w:bottom w:val="none" w:sz="0" w:space="0" w:color="auto"/>
                        <w:right w:val="none" w:sz="0" w:space="0" w:color="auto"/>
                      </w:divBdr>
                      <w:divsChild>
                        <w:div w:id="103411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02024">
                  <w:marLeft w:val="0"/>
                  <w:marRight w:val="0"/>
                  <w:marTop w:val="0"/>
                  <w:marBottom w:val="0"/>
                  <w:divBdr>
                    <w:top w:val="none" w:sz="0" w:space="0" w:color="auto"/>
                    <w:left w:val="none" w:sz="0" w:space="0" w:color="auto"/>
                    <w:bottom w:val="none" w:sz="0" w:space="0" w:color="auto"/>
                    <w:right w:val="none" w:sz="0" w:space="0" w:color="auto"/>
                  </w:divBdr>
                  <w:divsChild>
                    <w:div w:id="662046402">
                      <w:marLeft w:val="0"/>
                      <w:marRight w:val="0"/>
                      <w:marTop w:val="0"/>
                      <w:marBottom w:val="0"/>
                      <w:divBdr>
                        <w:top w:val="none" w:sz="0" w:space="0" w:color="auto"/>
                        <w:left w:val="none" w:sz="0" w:space="0" w:color="auto"/>
                        <w:bottom w:val="none" w:sz="0" w:space="0" w:color="auto"/>
                        <w:right w:val="none" w:sz="0" w:space="0" w:color="auto"/>
                      </w:divBdr>
                      <w:divsChild>
                        <w:div w:id="1855076047">
                          <w:marLeft w:val="0"/>
                          <w:marRight w:val="0"/>
                          <w:marTop w:val="0"/>
                          <w:marBottom w:val="0"/>
                          <w:divBdr>
                            <w:top w:val="none" w:sz="0" w:space="0" w:color="auto"/>
                            <w:left w:val="none" w:sz="0" w:space="0" w:color="auto"/>
                            <w:bottom w:val="none" w:sz="0" w:space="0" w:color="auto"/>
                            <w:right w:val="none" w:sz="0" w:space="0" w:color="auto"/>
                          </w:divBdr>
                        </w:div>
                        <w:div w:id="860582736">
                          <w:marLeft w:val="0"/>
                          <w:marRight w:val="0"/>
                          <w:marTop w:val="0"/>
                          <w:marBottom w:val="0"/>
                          <w:divBdr>
                            <w:top w:val="none" w:sz="0" w:space="0" w:color="auto"/>
                            <w:left w:val="none" w:sz="0" w:space="0" w:color="auto"/>
                            <w:bottom w:val="none" w:sz="0" w:space="0" w:color="auto"/>
                            <w:right w:val="none" w:sz="0" w:space="0" w:color="auto"/>
                          </w:divBdr>
                        </w:div>
                        <w:div w:id="1678844457">
                          <w:marLeft w:val="0"/>
                          <w:marRight w:val="0"/>
                          <w:marTop w:val="0"/>
                          <w:marBottom w:val="0"/>
                          <w:divBdr>
                            <w:top w:val="none" w:sz="0" w:space="0" w:color="auto"/>
                            <w:left w:val="none" w:sz="0" w:space="0" w:color="auto"/>
                            <w:bottom w:val="none" w:sz="0" w:space="0" w:color="auto"/>
                            <w:right w:val="none" w:sz="0" w:space="0" w:color="auto"/>
                          </w:divBdr>
                        </w:div>
                        <w:div w:id="46709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946434">
      <w:bodyDiv w:val="1"/>
      <w:marLeft w:val="0"/>
      <w:marRight w:val="0"/>
      <w:marTop w:val="0"/>
      <w:marBottom w:val="0"/>
      <w:divBdr>
        <w:top w:val="none" w:sz="0" w:space="0" w:color="auto"/>
        <w:left w:val="none" w:sz="0" w:space="0" w:color="auto"/>
        <w:bottom w:val="none" w:sz="0" w:space="0" w:color="auto"/>
        <w:right w:val="none" w:sz="0" w:space="0" w:color="auto"/>
      </w:divBdr>
      <w:divsChild>
        <w:div w:id="465439704">
          <w:marLeft w:val="0"/>
          <w:marRight w:val="0"/>
          <w:marTop w:val="0"/>
          <w:marBottom w:val="0"/>
          <w:divBdr>
            <w:top w:val="none" w:sz="0" w:space="0" w:color="auto"/>
            <w:left w:val="none" w:sz="0" w:space="0" w:color="auto"/>
            <w:bottom w:val="none" w:sz="0" w:space="0" w:color="auto"/>
            <w:right w:val="none" w:sz="0" w:space="0" w:color="auto"/>
          </w:divBdr>
        </w:div>
        <w:div w:id="1444304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si.com.vn/tin-tuc/tin-tuc-chung/trai-phieu-la-gi-cac-dac-diem-cua-trai-phieu-ma-ban-can-biet" TargetMode="External"/><Relationship Id="rId4" Type="http://schemas.openxmlformats.org/officeDocument/2006/relationships/hyperlink" Target="https://ssi.com.vn/khach-hang-ca-nhan/tong-quan-ve-co-ph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 Office User</cp:lastModifiedBy>
  <cp:revision>2</cp:revision>
  <dcterms:created xsi:type="dcterms:W3CDTF">2022-11-30T12:45:00Z</dcterms:created>
  <dcterms:modified xsi:type="dcterms:W3CDTF">2023-08-23T13:41:00Z</dcterms:modified>
</cp:coreProperties>
</file>