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856" w:rsidRPr="006F1E85" w:rsidRDefault="003C4856" w:rsidP="006F1E85">
      <w:pPr>
        <w:shd w:val="clear" w:color="auto" w:fill="FFFFFF"/>
        <w:spacing w:after="0" w:line="312" w:lineRule="auto"/>
        <w:jc w:val="center"/>
        <w:rPr>
          <w:rFonts w:eastAsia="Times New Roman" w:cs="Times New Roman"/>
          <w:b/>
          <w:color w:val="151617"/>
          <w:szCs w:val="26"/>
        </w:rPr>
      </w:pPr>
      <w:bookmarkStart w:id="0" w:name="_GoBack"/>
      <w:bookmarkEnd w:id="0"/>
      <w:r w:rsidRPr="006F1E85">
        <w:rPr>
          <w:rFonts w:eastAsia="Times New Roman" w:cs="Times New Roman"/>
          <w:b/>
          <w:color w:val="151617"/>
          <w:szCs w:val="26"/>
        </w:rPr>
        <w:t>NHỮNG LƯU Ý KHI QUYẾT TOÁN THUẾ TNCN NĂM 2020</w:t>
      </w:r>
    </w:p>
    <w:p w:rsidR="003C4856" w:rsidRPr="003C4856" w:rsidRDefault="003C4856" w:rsidP="006F1E85">
      <w:pPr>
        <w:shd w:val="clear" w:color="auto" w:fill="FFFFFF"/>
        <w:spacing w:after="0" w:line="312" w:lineRule="auto"/>
        <w:jc w:val="both"/>
        <w:rPr>
          <w:rFonts w:eastAsia="Times New Roman" w:cs="Times New Roman"/>
          <w:color w:val="151617"/>
          <w:szCs w:val="26"/>
        </w:rPr>
      </w:pPr>
    </w:p>
    <w:p w:rsidR="003C4856" w:rsidRPr="003C4856" w:rsidRDefault="003C4856" w:rsidP="006F1E85">
      <w:pPr>
        <w:shd w:val="clear" w:color="auto" w:fill="FFFFFF"/>
        <w:spacing w:after="0" w:line="312" w:lineRule="auto"/>
        <w:jc w:val="both"/>
        <w:rPr>
          <w:rFonts w:eastAsia="Times New Roman" w:cs="Times New Roman"/>
          <w:b/>
          <w:color w:val="151617"/>
          <w:szCs w:val="26"/>
        </w:rPr>
      </w:pPr>
      <w:r w:rsidRPr="006F1E85">
        <w:rPr>
          <w:rFonts w:eastAsia="Times New Roman" w:cs="Times New Roman"/>
          <w:b/>
          <w:color w:val="151617"/>
          <w:szCs w:val="26"/>
        </w:rPr>
        <w:t xml:space="preserve">1. </w:t>
      </w:r>
      <w:r w:rsidRPr="003C4856">
        <w:rPr>
          <w:rFonts w:eastAsia="Times New Roman" w:cs="Times New Roman"/>
          <w:b/>
          <w:color w:val="151617"/>
          <w:szCs w:val="26"/>
        </w:rPr>
        <w:t>Chính thức </w:t>
      </w:r>
      <w:r w:rsidRPr="006F1E85">
        <w:rPr>
          <w:rFonts w:eastAsia="Times New Roman" w:cs="Times New Roman"/>
          <w:b/>
          <w:bCs/>
          <w:iCs/>
          <w:color w:val="151617"/>
          <w:szCs w:val="26"/>
        </w:rPr>
        <w:t>nâng mức giảm trừ gia cảnh</w:t>
      </w:r>
      <w:r w:rsidRPr="003C4856">
        <w:rPr>
          <w:rFonts w:eastAsia="Times New Roman" w:cs="Times New Roman"/>
          <w:b/>
          <w:color w:val="151617"/>
          <w:szCs w:val="26"/>
        </w:rPr>
        <w:t> lên 11 triệu đồng/tháng từ ngày 01/07/2020 và áp dụng từ kỳ tính thuế 2020.</w:t>
      </w:r>
    </w:p>
    <w:p w:rsidR="003C4856" w:rsidRPr="003C4856" w:rsidRDefault="003C4856" w:rsidP="006F1E85">
      <w:pPr>
        <w:shd w:val="clear" w:color="auto" w:fill="FFFFFF"/>
        <w:spacing w:after="0" w:line="312" w:lineRule="auto"/>
        <w:ind w:firstLine="720"/>
        <w:jc w:val="both"/>
        <w:outlineLvl w:val="1"/>
        <w:rPr>
          <w:rFonts w:eastAsia="Times New Roman" w:cs="Times New Roman"/>
          <w:b/>
          <w:bCs/>
          <w:i/>
          <w:color w:val="222222"/>
          <w:szCs w:val="26"/>
        </w:rPr>
      </w:pPr>
      <w:r w:rsidRPr="006F1E85">
        <w:rPr>
          <w:rFonts w:eastAsia="Times New Roman" w:cs="Times New Roman"/>
          <w:b/>
          <w:bCs/>
          <w:i/>
          <w:color w:val="222222"/>
          <w:szCs w:val="26"/>
        </w:rPr>
        <w:t>Tăng mức giảm trừ gia cảnh năm 2020 lên 11 triệu đồng/tháng</w:t>
      </w:r>
    </w:p>
    <w:p w:rsidR="003C4856" w:rsidRPr="003C4856" w:rsidRDefault="003C4856" w:rsidP="006F1E85">
      <w:pPr>
        <w:shd w:val="clear" w:color="auto" w:fill="FFFFFF"/>
        <w:spacing w:after="0" w:line="312" w:lineRule="auto"/>
        <w:ind w:firstLine="720"/>
        <w:jc w:val="both"/>
        <w:rPr>
          <w:rFonts w:eastAsia="Times New Roman" w:cs="Times New Roman"/>
          <w:color w:val="151617"/>
          <w:szCs w:val="26"/>
        </w:rPr>
      </w:pPr>
      <w:r w:rsidRPr="003C4856">
        <w:rPr>
          <w:rFonts w:eastAsia="Times New Roman" w:cs="Times New Roman"/>
          <w:color w:val="151617"/>
          <w:szCs w:val="26"/>
        </w:rPr>
        <w:t>Nghị quyết Nghị quyết 954/2020/UBTVQH14 của Ủy ban Thường vụ Quốc hội ban hành vừa qua đã </w:t>
      </w:r>
      <w:r w:rsidRPr="003C4856">
        <w:rPr>
          <w:rFonts w:eastAsia="Times New Roman" w:cs="Times New Roman"/>
          <w:i/>
          <w:iCs/>
          <w:color w:val="151617"/>
          <w:szCs w:val="26"/>
        </w:rPr>
        <w:t>nâng mức giảm trừ gia cảnh</w:t>
      </w:r>
      <w:r w:rsidRPr="003C4856">
        <w:rPr>
          <w:rFonts w:eastAsia="Times New Roman" w:cs="Times New Roman"/>
          <w:color w:val="151617"/>
          <w:szCs w:val="26"/>
        </w:rPr>
        <w:t> của thuế thu nhập cá nhân từ 9 lên 11 triệu đồng/tháng.</w:t>
      </w:r>
    </w:p>
    <w:p w:rsidR="003C4856" w:rsidRPr="003C4856" w:rsidRDefault="003C4856" w:rsidP="006F1E85">
      <w:pPr>
        <w:pStyle w:val="ListParagraph"/>
        <w:numPr>
          <w:ilvl w:val="0"/>
          <w:numId w:val="1"/>
        </w:numPr>
        <w:shd w:val="clear" w:color="auto" w:fill="FFFFFF"/>
        <w:spacing w:after="0" w:line="312" w:lineRule="auto"/>
        <w:ind w:left="0" w:firstLine="360"/>
        <w:jc w:val="both"/>
        <w:rPr>
          <w:rFonts w:eastAsia="Times New Roman" w:cs="Times New Roman"/>
          <w:color w:val="151617"/>
          <w:szCs w:val="26"/>
        </w:rPr>
      </w:pPr>
      <w:r w:rsidRPr="003C4856">
        <w:rPr>
          <w:rFonts w:eastAsia="Times New Roman" w:cs="Times New Roman"/>
          <w:color w:val="151617"/>
          <w:szCs w:val="26"/>
        </w:rPr>
        <w:t>Cụ thể, </w:t>
      </w:r>
      <w:r w:rsidRPr="003C4856">
        <w:rPr>
          <w:rFonts w:eastAsia="Times New Roman" w:cs="Times New Roman"/>
          <w:i/>
          <w:iCs/>
          <w:color w:val="151617"/>
          <w:szCs w:val="26"/>
        </w:rPr>
        <w:t>điều chỉnh mức giảm trừ gia cảnh</w:t>
      </w:r>
      <w:r w:rsidRPr="003C4856">
        <w:rPr>
          <w:rFonts w:eastAsia="Times New Roman" w:cs="Times New Roman"/>
          <w:color w:val="151617"/>
          <w:szCs w:val="26"/>
        </w:rPr>
        <w:t> quy định tại khoản 1 Điều 19 Luật Thuế thu nhập cá nhân 2007 (đã được sửa đổi, bổ sung một số điều theo Luật thuế thu nhập cá nhân sửa đổi 2012) như sau:</w:t>
      </w:r>
    </w:p>
    <w:tbl>
      <w:tblPr>
        <w:tblW w:w="9975" w:type="dxa"/>
        <w:shd w:val="clear" w:color="auto" w:fill="FFFFFF"/>
        <w:tblCellMar>
          <w:left w:w="0" w:type="dxa"/>
          <w:right w:w="0" w:type="dxa"/>
        </w:tblCellMar>
        <w:tblLook w:val="04A0" w:firstRow="1" w:lastRow="0" w:firstColumn="1" w:lastColumn="0" w:noHBand="0" w:noVBand="1"/>
      </w:tblPr>
      <w:tblGrid>
        <w:gridCol w:w="3325"/>
        <w:gridCol w:w="3325"/>
        <w:gridCol w:w="3325"/>
      </w:tblGrid>
      <w:tr w:rsidR="003C4856" w:rsidRPr="003C4856" w:rsidTr="00675A36">
        <w:tc>
          <w:tcPr>
            <w:tcW w:w="3120" w:type="dxa"/>
            <w:tcBorders>
              <w:top w:val="single" w:sz="8"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Khoản giảm trừ</w:t>
            </w:r>
          </w:p>
        </w:tc>
        <w:tc>
          <w:tcPr>
            <w:tcW w:w="3120"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Mức giảm trừ cũ</w:t>
            </w:r>
          </w:p>
        </w:tc>
        <w:tc>
          <w:tcPr>
            <w:tcW w:w="3120"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Mức giảm trừ mới</w:t>
            </w:r>
          </w:p>
        </w:tc>
      </w:tr>
      <w:tr w:rsidR="003C4856" w:rsidRPr="003C4856" w:rsidTr="00675A36">
        <w:tc>
          <w:tcPr>
            <w:tcW w:w="31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Mức giảm trừ gia cảnh đối với bản thân người nộp thuế</w:t>
            </w:r>
          </w:p>
        </w:tc>
        <w:tc>
          <w:tcPr>
            <w:tcW w:w="3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09 triệu đồng/tháng (108 triệu đồng/năm)</w:t>
            </w:r>
          </w:p>
        </w:tc>
        <w:tc>
          <w:tcPr>
            <w:tcW w:w="3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11 triệu đồng/tháng (132 triệu đồng/năm)</w:t>
            </w:r>
          </w:p>
        </w:tc>
      </w:tr>
      <w:tr w:rsidR="003C4856" w:rsidRPr="003C4856" w:rsidTr="00675A36">
        <w:tc>
          <w:tcPr>
            <w:tcW w:w="31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Mức giảm trừ gia cảnh đối với mỗi người phụ thuộc</w:t>
            </w:r>
          </w:p>
        </w:tc>
        <w:tc>
          <w:tcPr>
            <w:tcW w:w="3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3,6 triệu đồng/tháng</w:t>
            </w:r>
          </w:p>
        </w:tc>
        <w:tc>
          <w:tcPr>
            <w:tcW w:w="3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4,4 triệu đồng/tháng</w:t>
            </w:r>
          </w:p>
        </w:tc>
      </w:tr>
    </w:tbl>
    <w:p w:rsidR="003C4856" w:rsidRPr="003C4856" w:rsidRDefault="003C4856" w:rsidP="006F1E85">
      <w:pPr>
        <w:pStyle w:val="ListParagraph"/>
        <w:numPr>
          <w:ilvl w:val="0"/>
          <w:numId w:val="1"/>
        </w:numPr>
        <w:shd w:val="clear" w:color="auto" w:fill="FFFFFF"/>
        <w:spacing w:after="0" w:line="312" w:lineRule="auto"/>
        <w:ind w:left="0" w:firstLine="360"/>
        <w:jc w:val="both"/>
        <w:rPr>
          <w:rFonts w:eastAsia="Times New Roman" w:cs="Times New Roman"/>
          <w:color w:val="151617"/>
          <w:szCs w:val="26"/>
        </w:rPr>
      </w:pPr>
      <w:r w:rsidRPr="003C4856">
        <w:rPr>
          <w:rFonts w:eastAsia="Times New Roman" w:cs="Times New Roman"/>
          <w:color w:val="151617"/>
          <w:szCs w:val="26"/>
        </w:rPr>
        <w:t>Đối với các trường hợp đã tạm nộp thuế theo </w:t>
      </w:r>
      <w:r w:rsidRPr="003C4856">
        <w:rPr>
          <w:rFonts w:eastAsia="Times New Roman" w:cs="Times New Roman"/>
          <w:i/>
          <w:iCs/>
          <w:color w:val="151617"/>
          <w:szCs w:val="26"/>
        </w:rPr>
        <w:t>mức giảm trừ gia cảnh</w:t>
      </w:r>
      <w:r w:rsidRPr="003C4856">
        <w:rPr>
          <w:rFonts w:eastAsia="Times New Roman" w:cs="Times New Roman"/>
          <w:color w:val="151617"/>
          <w:szCs w:val="26"/>
        </w:rPr>
        <w:t> quy định tại khoản 1 Điều 19 Luật Thuế thu nhập cá nhân 2007 (đã được sửa đổi, bổ sung một số điều theo Luật thuế thu nhập cá nhân sửa đổi 2012) được xác định lại số thuế thu nhập cá nhân phải nộp theo mức giảm trừ gia cảnh quy định tại Nghị quyết 954/2020/UBTVQH14 khi quyết toán thuế thu nhập cá nhân năm 2020.</w:t>
      </w:r>
    </w:p>
    <w:p w:rsidR="003C4856" w:rsidRPr="003C4856" w:rsidRDefault="003C4856" w:rsidP="006F1E85">
      <w:pPr>
        <w:shd w:val="clear" w:color="auto" w:fill="FFFFFF"/>
        <w:spacing w:after="0" w:line="312" w:lineRule="auto"/>
        <w:ind w:firstLine="360"/>
        <w:jc w:val="both"/>
        <w:rPr>
          <w:rFonts w:eastAsia="Times New Roman" w:cs="Times New Roman"/>
          <w:color w:val="151617"/>
          <w:szCs w:val="26"/>
        </w:rPr>
      </w:pPr>
      <w:r w:rsidRPr="003C4856">
        <w:rPr>
          <w:rFonts w:eastAsia="Times New Roman" w:cs="Times New Roman"/>
          <w:color w:val="151617"/>
          <w:szCs w:val="26"/>
        </w:rPr>
        <w:t>Mọi đối tượng nộp thuế đều được giảm số thuế phải nộp, trong đó, nhóm người nộp thuế ở bậc thấp sẽ có mức độ giảm thuế cao hơn so với nhóm người nộp thuế ở bậc cao.</w:t>
      </w:r>
    </w:p>
    <w:p w:rsidR="003C4856" w:rsidRPr="003C4856" w:rsidRDefault="003C4856" w:rsidP="006F1E85">
      <w:pPr>
        <w:shd w:val="clear" w:color="auto" w:fill="FFFFFF"/>
        <w:spacing w:after="0" w:line="312" w:lineRule="auto"/>
        <w:ind w:firstLine="360"/>
        <w:jc w:val="both"/>
        <w:rPr>
          <w:rFonts w:eastAsia="Times New Roman" w:cs="Times New Roman"/>
          <w:color w:val="222222"/>
          <w:szCs w:val="26"/>
        </w:rPr>
      </w:pPr>
      <w:r w:rsidRPr="003C4856">
        <w:rPr>
          <w:rFonts w:eastAsia="Times New Roman" w:cs="Times New Roman"/>
          <w:color w:val="222222"/>
          <w:szCs w:val="26"/>
        </w:rPr>
        <w:t>Với mức giảm trừ gia cảnh được tăng lên thì chỉ khi có thu nhập trên 11 triệu đồng/tháng mới phải nộp thuế với điều kiện không có người phụ thuộc và đã trừ đi các khoản bảo hiểm bắt buộc, thu nhập được miễn thuế và tiền đóng góp từ thiện (nếu có).</w:t>
      </w:r>
    </w:p>
    <w:p w:rsidR="003C4856" w:rsidRPr="003C4856" w:rsidRDefault="003C4856" w:rsidP="006F1E85">
      <w:pPr>
        <w:shd w:val="clear" w:color="auto" w:fill="FFFFFF"/>
        <w:spacing w:after="0" w:line="312" w:lineRule="auto"/>
        <w:jc w:val="both"/>
        <w:rPr>
          <w:rFonts w:eastAsia="Times New Roman" w:cs="Times New Roman"/>
          <w:color w:val="222222"/>
          <w:szCs w:val="26"/>
        </w:rPr>
      </w:pPr>
      <w:r w:rsidRPr="003C4856">
        <w:rPr>
          <w:rFonts w:eastAsia="Times New Roman" w:cs="Times New Roman"/>
          <w:color w:val="222222"/>
          <w:szCs w:val="26"/>
        </w:rPr>
        <w:t>Để tiện theo dõi mức thu nhập mà người lao động phải nộp thuế hãy xem bảng sau:</w:t>
      </w:r>
    </w:p>
    <w:tbl>
      <w:tblPr>
        <w:tblW w:w="9975" w:type="dxa"/>
        <w:shd w:val="clear" w:color="auto" w:fill="FFFFFF"/>
        <w:tblCellMar>
          <w:left w:w="0" w:type="dxa"/>
          <w:right w:w="0" w:type="dxa"/>
        </w:tblCellMar>
        <w:tblLook w:val="04A0" w:firstRow="1" w:lastRow="0" w:firstColumn="1" w:lastColumn="0" w:noHBand="0" w:noVBand="1"/>
      </w:tblPr>
      <w:tblGrid>
        <w:gridCol w:w="1055"/>
        <w:gridCol w:w="3325"/>
        <w:gridCol w:w="5595"/>
      </w:tblGrid>
      <w:tr w:rsidR="003C4856" w:rsidRPr="003C4856" w:rsidTr="003C4856">
        <w:tc>
          <w:tcPr>
            <w:tcW w:w="990" w:type="dxa"/>
            <w:tcBorders>
              <w:top w:val="single" w:sz="8"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Mức thu nhập</w:t>
            </w:r>
          </w:p>
        </w:tc>
        <w:tc>
          <w:tcPr>
            <w:tcW w:w="3120"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Trường hợp</w:t>
            </w:r>
          </w:p>
        </w:tc>
        <w:tc>
          <w:tcPr>
            <w:tcW w:w="5250"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Mức thu nhập phải nộp thuế sau khi đã trừ các khoản bảo hiểm bắt buộc, các khoản được miễn thuế, đóng góp từ thiện</w:t>
            </w:r>
          </w:p>
        </w:tc>
      </w:tr>
      <w:tr w:rsidR="003C4856" w:rsidRPr="003C4856" w:rsidTr="003C4856">
        <w:tc>
          <w:tcPr>
            <w:tcW w:w="9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Mức 1</w:t>
            </w:r>
          </w:p>
        </w:tc>
        <w:tc>
          <w:tcPr>
            <w:tcW w:w="3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Không có người phụ thuộc</w:t>
            </w:r>
          </w:p>
        </w:tc>
        <w:tc>
          <w:tcPr>
            <w:tcW w:w="5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Trên 11 triệu đồng/tháng</w:t>
            </w:r>
          </w:p>
        </w:tc>
      </w:tr>
      <w:tr w:rsidR="003C4856" w:rsidRPr="003C4856" w:rsidTr="003C4856">
        <w:tc>
          <w:tcPr>
            <w:tcW w:w="9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Mức 2</w:t>
            </w:r>
          </w:p>
        </w:tc>
        <w:tc>
          <w:tcPr>
            <w:tcW w:w="3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Có 01 người phụ thuộc</w:t>
            </w:r>
          </w:p>
        </w:tc>
        <w:tc>
          <w:tcPr>
            <w:tcW w:w="5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Trên 15,4 triệu đồng/tháng</w:t>
            </w:r>
          </w:p>
        </w:tc>
      </w:tr>
      <w:tr w:rsidR="003C4856" w:rsidRPr="003C4856" w:rsidTr="003C4856">
        <w:tc>
          <w:tcPr>
            <w:tcW w:w="9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Mức 3</w:t>
            </w:r>
          </w:p>
        </w:tc>
        <w:tc>
          <w:tcPr>
            <w:tcW w:w="3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Có 02 người phụ thuộc</w:t>
            </w:r>
          </w:p>
        </w:tc>
        <w:tc>
          <w:tcPr>
            <w:tcW w:w="5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Trên 19,8 triệu đồng/tháng</w:t>
            </w:r>
          </w:p>
        </w:tc>
      </w:tr>
      <w:tr w:rsidR="003C4856" w:rsidRPr="003C4856" w:rsidTr="003C4856">
        <w:tc>
          <w:tcPr>
            <w:tcW w:w="9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Mức 4</w:t>
            </w:r>
          </w:p>
        </w:tc>
        <w:tc>
          <w:tcPr>
            <w:tcW w:w="3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Có 03 người phụ thuộc</w:t>
            </w:r>
          </w:p>
        </w:tc>
        <w:tc>
          <w:tcPr>
            <w:tcW w:w="5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Trên 24,2 triệu đồng/tháng</w:t>
            </w:r>
          </w:p>
        </w:tc>
      </w:tr>
      <w:tr w:rsidR="003C4856" w:rsidRPr="003C4856" w:rsidTr="003C4856">
        <w:tc>
          <w:tcPr>
            <w:tcW w:w="9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Mức 5</w:t>
            </w:r>
          </w:p>
        </w:tc>
        <w:tc>
          <w:tcPr>
            <w:tcW w:w="31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Có 04 người phụ thuộc</w:t>
            </w:r>
          </w:p>
        </w:tc>
        <w:tc>
          <w:tcPr>
            <w:tcW w:w="52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C4856" w:rsidRPr="003C4856" w:rsidRDefault="003C4856" w:rsidP="006F1E85">
            <w:pPr>
              <w:spacing w:after="0" w:line="312" w:lineRule="auto"/>
              <w:jc w:val="both"/>
              <w:rPr>
                <w:rFonts w:eastAsia="Times New Roman" w:cs="Times New Roman"/>
                <w:color w:val="222222"/>
                <w:szCs w:val="26"/>
              </w:rPr>
            </w:pPr>
            <w:r w:rsidRPr="003C4856">
              <w:rPr>
                <w:rFonts w:eastAsia="Times New Roman" w:cs="Times New Roman"/>
                <w:color w:val="222222"/>
                <w:szCs w:val="26"/>
              </w:rPr>
              <w:t>Trên 28,6 triệu đồng/tháng</w:t>
            </w:r>
          </w:p>
        </w:tc>
      </w:tr>
    </w:tbl>
    <w:p w:rsidR="003C4856" w:rsidRPr="003C4856" w:rsidRDefault="003C4856" w:rsidP="006F1E85">
      <w:pPr>
        <w:shd w:val="clear" w:color="auto" w:fill="FFFFFF"/>
        <w:spacing w:after="0" w:line="312" w:lineRule="auto"/>
        <w:ind w:firstLine="720"/>
        <w:jc w:val="both"/>
        <w:rPr>
          <w:rFonts w:eastAsia="Times New Roman" w:cs="Times New Roman"/>
          <w:color w:val="151617"/>
          <w:szCs w:val="26"/>
        </w:rPr>
      </w:pPr>
      <w:r w:rsidRPr="003C4856">
        <w:rPr>
          <w:rFonts w:eastAsia="Times New Roman" w:cs="Times New Roman"/>
          <w:color w:val="151617"/>
          <w:szCs w:val="26"/>
        </w:rPr>
        <w:t>Với quyết định điều chỉnh này, sẽ có khoảng 1 triệu người đang phải nộp thuế TNCN ở mức đầu tiên (bậc 1) sẽ chuyển sang diện không phải nộp Thuế Thu nhập cá nhân nữa.</w:t>
      </w:r>
    </w:p>
    <w:p w:rsidR="003C4856" w:rsidRPr="003C4856" w:rsidRDefault="003C4856" w:rsidP="006F1E85">
      <w:pPr>
        <w:shd w:val="clear" w:color="auto" w:fill="FFFFFF"/>
        <w:spacing w:after="0" w:line="312" w:lineRule="auto"/>
        <w:ind w:firstLine="720"/>
        <w:jc w:val="both"/>
        <w:rPr>
          <w:rFonts w:eastAsia="Times New Roman" w:cs="Times New Roman"/>
          <w:color w:val="151617"/>
          <w:szCs w:val="26"/>
        </w:rPr>
      </w:pPr>
      <w:r w:rsidRPr="003C4856">
        <w:rPr>
          <w:rFonts w:eastAsia="Times New Roman" w:cs="Times New Roman"/>
          <w:color w:val="151617"/>
          <w:szCs w:val="26"/>
        </w:rPr>
        <w:lastRenderedPageBreak/>
        <w:t>Với những người có thu nhập cao hơn, phải nộp thuế trong khoảng bậc 2 trở đi cũng sẽ rất có lợi khi số thuế TNCN phải nộp cũng sẽ giảm đáng kể do được nâng mức giảm trừ gia cảnh lên.</w:t>
      </w:r>
    </w:p>
    <w:p w:rsidR="003C4856" w:rsidRPr="003C4856" w:rsidRDefault="003C4856" w:rsidP="006F1E85">
      <w:pPr>
        <w:shd w:val="clear" w:color="auto" w:fill="FFFFFF"/>
        <w:spacing w:after="0" w:line="312" w:lineRule="auto"/>
        <w:ind w:firstLine="720"/>
        <w:jc w:val="both"/>
        <w:rPr>
          <w:rFonts w:eastAsia="Times New Roman" w:cs="Times New Roman"/>
          <w:color w:val="151617"/>
          <w:szCs w:val="26"/>
        </w:rPr>
      </w:pPr>
      <w:r w:rsidRPr="003C4856">
        <w:rPr>
          <w:rFonts w:eastAsia="Times New Roman" w:cs="Times New Roman"/>
          <w:color w:val="151617"/>
          <w:szCs w:val="26"/>
        </w:rPr>
        <w:t>Những người có thu nhập 20 triệu đồng/tháng nếu có 2 người phụ thuộc thì số thuế TNCN phải nộp hàng tháng chỉ chiếm khoảng 0,05% thu nhập (khoảng 10 nghìn đồng/tháng). Những người có thu nhập dưới 15 triệu đồng/tháng có người phụ thuộc sẽ không phải nộp thuế.</w:t>
      </w:r>
    </w:p>
    <w:p w:rsidR="003C4856" w:rsidRPr="003C4856" w:rsidRDefault="003C4856" w:rsidP="006F1E85">
      <w:pPr>
        <w:spacing w:after="0" w:line="312" w:lineRule="auto"/>
        <w:jc w:val="both"/>
        <w:rPr>
          <w:rFonts w:eastAsia="Times New Roman" w:cs="Times New Roman"/>
          <w:szCs w:val="26"/>
        </w:rPr>
      </w:pPr>
      <w:r w:rsidRPr="003C4856">
        <w:rPr>
          <w:rFonts w:eastAsia="Times New Roman" w:cs="Times New Roman"/>
          <w:b/>
          <w:bCs/>
          <w:color w:val="222222"/>
          <w:szCs w:val="26"/>
          <w:shd w:val="clear" w:color="auto" w:fill="FFFFFF"/>
        </w:rPr>
        <w:t>2. Nhằm hỗ trợ đồng bào một số tỉnh miền Trung khắc phục hậu quả bão lũ thì nhiều tổ chức, cá nhân đã ủng hộ tiền hoặc lợi ích vật chất khác. Vậy, tiền ủng hộ có được trừ khi tính thuế thu nhập cá nhân?</w:t>
      </w:r>
    </w:p>
    <w:p w:rsidR="003C4856" w:rsidRPr="003C4856" w:rsidRDefault="00807BD4" w:rsidP="006F1E85">
      <w:pPr>
        <w:shd w:val="clear" w:color="auto" w:fill="FFFFFF"/>
        <w:spacing w:after="0" w:line="312" w:lineRule="auto"/>
        <w:jc w:val="both"/>
        <w:rPr>
          <w:rFonts w:eastAsia="Times New Roman" w:cs="Times New Roman"/>
          <w:color w:val="222222"/>
          <w:szCs w:val="26"/>
        </w:rPr>
      </w:pPr>
      <w:hyperlink r:id="rId5" w:history="1">
        <w:r w:rsidR="003C4856" w:rsidRPr="003C4856">
          <w:rPr>
            <w:rFonts w:eastAsia="Times New Roman" w:cs="Times New Roman"/>
            <w:color w:val="A67942"/>
            <w:szCs w:val="26"/>
            <w:u w:val="single"/>
          </w:rPr>
          <w:t>Khoản 1 Điều 7 Thông tư 111/2013/TT-BTC</w:t>
        </w:r>
      </w:hyperlink>
      <w:r w:rsidR="003C4856" w:rsidRPr="003C4856">
        <w:rPr>
          <w:rFonts w:eastAsia="Times New Roman" w:cs="Times New Roman"/>
          <w:color w:val="222222"/>
          <w:szCs w:val="26"/>
        </w:rPr>
        <w:t> quy định căn cứ tính thuế đối với thu nhập từ tiền lương, tiền công là thu nhập tính thuế và thuế suất, cụ thể:</w:t>
      </w:r>
    </w:p>
    <w:p w:rsidR="003C4856" w:rsidRPr="003C4856" w:rsidRDefault="003C4856" w:rsidP="006F1E85">
      <w:pPr>
        <w:shd w:val="clear" w:color="auto" w:fill="FFFFFF"/>
        <w:spacing w:after="0" w:line="312" w:lineRule="auto"/>
        <w:jc w:val="both"/>
        <w:rPr>
          <w:rFonts w:eastAsia="Times New Roman" w:cs="Times New Roman"/>
          <w:i/>
          <w:iCs/>
          <w:color w:val="222222"/>
          <w:szCs w:val="26"/>
        </w:rPr>
      </w:pPr>
      <w:r w:rsidRPr="003C4856">
        <w:rPr>
          <w:rFonts w:eastAsia="Times New Roman" w:cs="Times New Roman"/>
          <w:i/>
          <w:iCs/>
          <w:color w:val="222222"/>
          <w:szCs w:val="26"/>
        </w:rPr>
        <w:t>“1. Thu nhập tính thuế được xác định bằng thu nhập chịu thuế theo hướng dẫn tại Điều 8 Thông tư này trừ (-) các khoản giảm trừ sau:</w:t>
      </w:r>
    </w:p>
    <w:p w:rsidR="003C4856" w:rsidRPr="003C4856" w:rsidRDefault="003C4856" w:rsidP="006F1E85">
      <w:pPr>
        <w:shd w:val="clear" w:color="auto" w:fill="FFFFFF"/>
        <w:spacing w:after="0" w:line="312" w:lineRule="auto"/>
        <w:jc w:val="both"/>
        <w:rPr>
          <w:rFonts w:eastAsia="Times New Roman" w:cs="Times New Roman"/>
          <w:i/>
          <w:iCs/>
          <w:color w:val="222222"/>
          <w:szCs w:val="26"/>
        </w:rPr>
      </w:pPr>
      <w:r w:rsidRPr="003C4856">
        <w:rPr>
          <w:rFonts w:eastAsia="Times New Roman" w:cs="Times New Roman"/>
          <w:i/>
          <w:iCs/>
          <w:color w:val="222222"/>
          <w:szCs w:val="26"/>
        </w:rPr>
        <w:t>a) Các khoản giảm trừ gia cảnh theo hướng dẫn tại khoản 1, Điều 9 Thông tư này.</w:t>
      </w:r>
    </w:p>
    <w:p w:rsidR="003C4856" w:rsidRPr="003C4856" w:rsidRDefault="003C4856" w:rsidP="006F1E85">
      <w:pPr>
        <w:shd w:val="clear" w:color="auto" w:fill="FFFFFF"/>
        <w:spacing w:after="0" w:line="312" w:lineRule="auto"/>
        <w:jc w:val="both"/>
        <w:rPr>
          <w:rFonts w:eastAsia="Times New Roman" w:cs="Times New Roman"/>
          <w:i/>
          <w:iCs/>
          <w:color w:val="222222"/>
          <w:szCs w:val="26"/>
        </w:rPr>
      </w:pPr>
      <w:r w:rsidRPr="003C4856">
        <w:rPr>
          <w:rFonts w:eastAsia="Times New Roman" w:cs="Times New Roman"/>
          <w:i/>
          <w:iCs/>
          <w:color w:val="222222"/>
          <w:szCs w:val="26"/>
        </w:rPr>
        <w:t>b) Các khoản đóng bảo hiểm, quỹ hưu trí tự nguyện theo hướng dẫn tại khoản 2, Điều 9 Thông tư này.</w:t>
      </w:r>
    </w:p>
    <w:p w:rsidR="003C4856" w:rsidRPr="003C4856" w:rsidRDefault="003C4856" w:rsidP="006F1E85">
      <w:pPr>
        <w:shd w:val="clear" w:color="auto" w:fill="FFFFFF"/>
        <w:spacing w:after="0" w:line="312" w:lineRule="auto"/>
        <w:jc w:val="both"/>
        <w:rPr>
          <w:rFonts w:eastAsia="Times New Roman" w:cs="Times New Roman"/>
          <w:i/>
          <w:iCs/>
          <w:color w:val="222222"/>
          <w:szCs w:val="26"/>
        </w:rPr>
      </w:pPr>
      <w:r w:rsidRPr="003C4856">
        <w:rPr>
          <w:rFonts w:eastAsia="Times New Roman" w:cs="Times New Roman"/>
          <w:i/>
          <w:iCs/>
          <w:color w:val="222222"/>
          <w:szCs w:val="26"/>
        </w:rPr>
        <w:t>c) Các khoản đóng góp từ thiện, nhân đạo, khuyến học theo hướng dẫn tại khoản 3, Điều 9 Thông tư này”</w:t>
      </w:r>
    </w:p>
    <w:p w:rsidR="003C4856" w:rsidRPr="003C4856" w:rsidRDefault="003C4856" w:rsidP="006F1E85">
      <w:pPr>
        <w:shd w:val="clear" w:color="auto" w:fill="FFFFFF"/>
        <w:spacing w:after="0" w:line="312" w:lineRule="auto"/>
        <w:ind w:firstLine="720"/>
        <w:jc w:val="both"/>
        <w:rPr>
          <w:rFonts w:eastAsia="Times New Roman" w:cs="Times New Roman"/>
          <w:color w:val="222222"/>
          <w:szCs w:val="26"/>
        </w:rPr>
      </w:pPr>
      <w:r w:rsidRPr="003C4856">
        <w:rPr>
          <w:rFonts w:eastAsia="Times New Roman" w:cs="Times New Roman"/>
          <w:color w:val="222222"/>
          <w:szCs w:val="26"/>
        </w:rPr>
        <w:t>Như vậy, các khoản đóng góp từ thiện, nhân đạo, khuyến học là một trong những khoản được giảm trừ khi tính thuế thu nhập cá nhân từ tiền lương, tiền công nhưng phải đáp ứng điều kiện theo quy định, cụ thể:</w:t>
      </w:r>
    </w:p>
    <w:p w:rsidR="003C4856" w:rsidRPr="003C4856" w:rsidRDefault="003C4856" w:rsidP="006F1E85">
      <w:pPr>
        <w:shd w:val="clear" w:color="auto" w:fill="FFFFFF"/>
        <w:spacing w:after="0" w:line="312" w:lineRule="auto"/>
        <w:ind w:firstLine="720"/>
        <w:jc w:val="both"/>
        <w:rPr>
          <w:rFonts w:eastAsia="Times New Roman" w:cs="Times New Roman"/>
          <w:color w:val="222222"/>
          <w:szCs w:val="26"/>
        </w:rPr>
      </w:pPr>
      <w:r w:rsidRPr="003C4856">
        <w:rPr>
          <w:rFonts w:eastAsia="Times New Roman" w:cs="Times New Roman"/>
          <w:color w:val="222222"/>
          <w:szCs w:val="26"/>
        </w:rPr>
        <w:t>Căn cứ điểm a khoản 3 Điều 9 Thông tư 111/2013/TT-BTC, các khoản đóng góp từ thiện, nhân đạo, khuyến học được trừ vào thu nhập chịu thuế đối với thu nhập từ tiền lương, tiền công trước khi tính thuế của người nộp thuế là </w:t>
      </w:r>
      <w:hyperlink r:id="rId6" w:history="1">
        <w:r w:rsidRPr="003C4856">
          <w:rPr>
            <w:rFonts w:eastAsia="Times New Roman" w:cs="Times New Roman"/>
            <w:color w:val="A67942"/>
            <w:szCs w:val="26"/>
            <w:u w:val="single"/>
          </w:rPr>
          <w:t>cá nhân cư trú</w:t>
        </w:r>
      </w:hyperlink>
      <w:r w:rsidRPr="003C4856">
        <w:rPr>
          <w:rFonts w:eastAsia="Times New Roman" w:cs="Times New Roman"/>
          <w:color w:val="222222"/>
          <w:szCs w:val="26"/>
        </w:rPr>
        <w:t>, bao gồm:</w:t>
      </w:r>
    </w:p>
    <w:p w:rsidR="003C4856" w:rsidRPr="003C4856" w:rsidRDefault="003C4856" w:rsidP="006F1E85">
      <w:pPr>
        <w:shd w:val="clear" w:color="auto" w:fill="FFFFFF"/>
        <w:spacing w:after="0" w:line="312" w:lineRule="auto"/>
        <w:jc w:val="both"/>
        <w:rPr>
          <w:rFonts w:eastAsia="Times New Roman" w:cs="Times New Roman"/>
          <w:color w:val="222222"/>
          <w:szCs w:val="26"/>
        </w:rPr>
      </w:pPr>
      <w:r w:rsidRPr="003C4856">
        <w:rPr>
          <w:rFonts w:eastAsia="Times New Roman" w:cs="Times New Roman"/>
          <w:color w:val="222222"/>
          <w:szCs w:val="26"/>
        </w:rPr>
        <w:t>- Khoản chi đóng góp vào các tổ chức, cơ sở chăm sóc, nuôi dưỡng trẻ em có hoàn cảnh đặc biệt khó khăn, người khuyết tật, người già không nơi nương tựa.</w:t>
      </w:r>
    </w:p>
    <w:p w:rsidR="003C4856" w:rsidRPr="003C4856" w:rsidRDefault="003C4856" w:rsidP="006F1E85">
      <w:pPr>
        <w:shd w:val="clear" w:color="auto" w:fill="FFFFFF"/>
        <w:spacing w:after="0" w:line="312" w:lineRule="auto"/>
        <w:jc w:val="both"/>
        <w:rPr>
          <w:rFonts w:eastAsia="Times New Roman" w:cs="Times New Roman"/>
          <w:color w:val="222222"/>
          <w:szCs w:val="26"/>
        </w:rPr>
      </w:pPr>
      <w:r w:rsidRPr="003C4856">
        <w:rPr>
          <w:rFonts w:eastAsia="Times New Roman" w:cs="Times New Roman"/>
          <w:color w:val="222222"/>
          <w:szCs w:val="26"/>
        </w:rPr>
        <w:t>Tài liệu để chứng minh đóng góp vào các tổ chức, cơ sở chăm sóc, nuôi dưỡng trẻ em có hoàn cảnh đặc biệt khó khăn, người khuyết tật, người già không nơi nương tựa là chứng từ thu hợp pháp của tổ chức, cơ sở.</w:t>
      </w:r>
    </w:p>
    <w:p w:rsidR="003C4856" w:rsidRPr="003C4856" w:rsidRDefault="003C4856" w:rsidP="006F1E85">
      <w:pPr>
        <w:shd w:val="clear" w:color="auto" w:fill="FFFFFF"/>
        <w:spacing w:after="0" w:line="312" w:lineRule="auto"/>
        <w:jc w:val="both"/>
        <w:rPr>
          <w:rFonts w:eastAsia="Times New Roman" w:cs="Times New Roman"/>
          <w:color w:val="222222"/>
          <w:szCs w:val="26"/>
        </w:rPr>
      </w:pPr>
      <w:r w:rsidRPr="003C4856">
        <w:rPr>
          <w:rFonts w:eastAsia="Times New Roman" w:cs="Times New Roman"/>
          <w:color w:val="222222"/>
          <w:szCs w:val="26"/>
        </w:rPr>
        <w:t>- Khoản chi đóng góp vào các quỹ từ thiện, quỹ nhân đạo, quỹ khuyến học được thành lập và hoạt động theo quy định tại Nghị định </w:t>
      </w:r>
      <w:hyperlink r:id="rId7" w:history="1">
        <w:r w:rsidRPr="003C4856">
          <w:rPr>
            <w:rFonts w:eastAsia="Times New Roman" w:cs="Times New Roman"/>
            <w:color w:val="A67942"/>
            <w:szCs w:val="26"/>
            <w:u w:val="single"/>
          </w:rPr>
          <w:t>30/2012/NĐ-CP</w:t>
        </w:r>
      </w:hyperlink>
      <w:r w:rsidRPr="003C4856">
        <w:rPr>
          <w:rFonts w:eastAsia="Times New Roman" w:cs="Times New Roman"/>
          <w:color w:val="222222"/>
          <w:szCs w:val="26"/>
        </w:rPr>
        <w:t> (từ ngày 15/01/2020 được thay thế bởi Nghị định </w:t>
      </w:r>
      <w:hyperlink r:id="rId8" w:anchor="chidanthaydoi" w:history="1">
        <w:r w:rsidRPr="003C4856">
          <w:rPr>
            <w:rFonts w:eastAsia="Times New Roman" w:cs="Times New Roman"/>
            <w:color w:val="A67942"/>
            <w:szCs w:val="26"/>
            <w:u w:val="single"/>
          </w:rPr>
          <w:t>93/2019/NĐ-CP</w:t>
        </w:r>
      </w:hyperlink>
      <w:r w:rsidRPr="003C4856">
        <w:rPr>
          <w:rFonts w:eastAsia="Times New Roman" w:cs="Times New Roman"/>
          <w:color w:val="222222"/>
          <w:szCs w:val="26"/>
        </w:rPr>
        <w:t>) và quy định tại các văn bản khác có liên quan đến việc quản lý, sử dụng các nguồn tài trợ.</w:t>
      </w:r>
    </w:p>
    <w:p w:rsidR="003C4856" w:rsidRPr="003C4856" w:rsidRDefault="003C4856" w:rsidP="006F1E85">
      <w:pPr>
        <w:shd w:val="clear" w:color="auto" w:fill="FFFFFF"/>
        <w:spacing w:after="0" w:line="312" w:lineRule="auto"/>
        <w:ind w:firstLine="720"/>
        <w:jc w:val="both"/>
        <w:rPr>
          <w:rFonts w:eastAsia="Times New Roman" w:cs="Times New Roman"/>
          <w:color w:val="222222"/>
          <w:szCs w:val="26"/>
        </w:rPr>
      </w:pPr>
      <w:r w:rsidRPr="003C4856">
        <w:rPr>
          <w:rFonts w:eastAsia="Times New Roman" w:cs="Times New Roman"/>
          <w:color w:val="222222"/>
          <w:szCs w:val="26"/>
        </w:rPr>
        <w:t>Tài liệu chứng minh đóng góp từ thiện, nhân đạo, khuyến học là chứng từ thu hợp pháp do các tổ chức, các quỹ của Trung ương hoặc của tỉnh cấp.</w:t>
      </w:r>
    </w:p>
    <w:p w:rsidR="003C4856" w:rsidRPr="003C4856" w:rsidRDefault="003C4856" w:rsidP="006F1E85">
      <w:pPr>
        <w:pStyle w:val="NormalWeb"/>
        <w:shd w:val="clear" w:color="auto" w:fill="FFFFFF"/>
        <w:spacing w:before="0" w:beforeAutospacing="0" w:after="0" w:afterAutospacing="0" w:line="312" w:lineRule="auto"/>
        <w:ind w:firstLine="720"/>
        <w:jc w:val="both"/>
        <w:rPr>
          <w:color w:val="222222"/>
          <w:sz w:val="26"/>
          <w:szCs w:val="26"/>
        </w:rPr>
      </w:pPr>
      <w:r w:rsidRPr="003C4856">
        <w:rPr>
          <w:color w:val="222222"/>
          <w:sz w:val="26"/>
          <w:szCs w:val="26"/>
        </w:rPr>
        <w:lastRenderedPageBreak/>
        <w:t>Theo đó, được giảm trừ đối với những khoản đóng góp vào quỹ từ thiện thành lập và hoạt động theo Nghị định </w:t>
      </w:r>
      <w:hyperlink r:id="rId9" w:history="1">
        <w:r w:rsidRPr="003C4856">
          <w:rPr>
            <w:rStyle w:val="Hyperlink"/>
            <w:color w:val="A67942"/>
            <w:sz w:val="26"/>
            <w:szCs w:val="26"/>
          </w:rPr>
          <w:t>30/2012/NĐ-CP</w:t>
        </w:r>
      </w:hyperlink>
      <w:r w:rsidRPr="003C4856">
        <w:rPr>
          <w:color w:val="222222"/>
          <w:sz w:val="26"/>
          <w:szCs w:val="26"/>
        </w:rPr>
        <w:t> (từ ngày 15/01/2020 được thay thế bởi Nghị định </w:t>
      </w:r>
      <w:hyperlink r:id="rId10" w:anchor="chidanthaydoi" w:history="1">
        <w:r w:rsidRPr="003C4856">
          <w:rPr>
            <w:rStyle w:val="Hyperlink"/>
            <w:color w:val="A67942"/>
            <w:sz w:val="26"/>
            <w:szCs w:val="26"/>
          </w:rPr>
          <w:t>93/2019/NĐ-CP</w:t>
        </w:r>
      </w:hyperlink>
      <w:r w:rsidRPr="003C4856">
        <w:rPr>
          <w:color w:val="222222"/>
          <w:sz w:val="26"/>
          <w:szCs w:val="26"/>
        </w:rPr>
        <w:t>) và văn bản khác có liên quan đến việc quản lý, sử dụng các nguồn tài trợ.</w:t>
      </w:r>
    </w:p>
    <w:p w:rsidR="003C4856" w:rsidRPr="003C4856" w:rsidRDefault="003C4856" w:rsidP="006F1E85">
      <w:pPr>
        <w:pStyle w:val="NormalWeb"/>
        <w:shd w:val="clear" w:color="auto" w:fill="FFFFFF"/>
        <w:spacing w:before="0" w:beforeAutospacing="0" w:after="0" w:afterAutospacing="0" w:line="312" w:lineRule="auto"/>
        <w:ind w:firstLine="720"/>
        <w:jc w:val="both"/>
        <w:rPr>
          <w:color w:val="222222"/>
          <w:sz w:val="26"/>
          <w:szCs w:val="26"/>
        </w:rPr>
      </w:pPr>
      <w:r w:rsidRPr="003C4856">
        <w:rPr>
          <w:color w:val="222222"/>
          <w:sz w:val="26"/>
          <w:szCs w:val="26"/>
        </w:rPr>
        <w:t xml:space="preserve">Hay nói cách khác, nếu chuyển tiền cho cá nhân, tổ chức mà </w:t>
      </w:r>
      <w:r w:rsidRPr="003C4856">
        <w:rPr>
          <w:b/>
          <w:color w:val="222222"/>
          <w:sz w:val="26"/>
          <w:szCs w:val="26"/>
        </w:rPr>
        <w:t>không phải là quỹ từ thiện được thành lập và hoạt động theo quy định</w:t>
      </w:r>
      <w:r w:rsidRPr="003C4856">
        <w:rPr>
          <w:color w:val="222222"/>
          <w:sz w:val="26"/>
          <w:szCs w:val="26"/>
        </w:rPr>
        <w:t xml:space="preserve"> trên thì không được giảm trừ</w:t>
      </w:r>
    </w:p>
    <w:p w:rsidR="00D64F8B" w:rsidRDefault="006F1E85">
      <w:r>
        <w:tab/>
      </w:r>
      <w:r>
        <w:tab/>
      </w:r>
      <w:r>
        <w:tab/>
      </w:r>
      <w:r>
        <w:tab/>
      </w:r>
      <w:r>
        <w:tab/>
      </w:r>
      <w:r>
        <w:tab/>
      </w:r>
      <w:r>
        <w:tab/>
      </w:r>
      <w:r>
        <w:tab/>
      </w:r>
      <w:r>
        <w:tab/>
        <w:t>ThS. Võ Hồng Hạnh</w:t>
      </w:r>
    </w:p>
    <w:sectPr w:rsidR="00D64F8B" w:rsidSect="00283087">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A96B21"/>
    <w:multiLevelType w:val="hybridMultilevel"/>
    <w:tmpl w:val="36DE4D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56"/>
    <w:rsid w:val="00283087"/>
    <w:rsid w:val="003C4856"/>
    <w:rsid w:val="006F1E85"/>
    <w:rsid w:val="00807BD4"/>
    <w:rsid w:val="00D6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F4324-ABDD-4AC1-9C8A-F90C583C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485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4856"/>
    <w:rPr>
      <w:rFonts w:eastAsia="Times New Roman" w:cs="Times New Roman"/>
      <w:b/>
      <w:bCs/>
      <w:sz w:val="36"/>
      <w:szCs w:val="36"/>
    </w:rPr>
  </w:style>
  <w:style w:type="paragraph" w:styleId="NormalWeb">
    <w:name w:val="Normal (Web)"/>
    <w:basedOn w:val="Normal"/>
    <w:uiPriority w:val="99"/>
    <w:semiHidden/>
    <w:unhideWhenUsed/>
    <w:rsid w:val="003C4856"/>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C4856"/>
    <w:rPr>
      <w:i/>
      <w:iCs/>
    </w:rPr>
  </w:style>
  <w:style w:type="character" w:styleId="Strong">
    <w:name w:val="Strong"/>
    <w:basedOn w:val="DefaultParagraphFont"/>
    <w:uiPriority w:val="22"/>
    <w:qFormat/>
    <w:rsid w:val="003C4856"/>
    <w:rPr>
      <w:b/>
      <w:bCs/>
    </w:rPr>
  </w:style>
  <w:style w:type="character" w:styleId="Hyperlink">
    <w:name w:val="Hyperlink"/>
    <w:basedOn w:val="DefaultParagraphFont"/>
    <w:uiPriority w:val="99"/>
    <w:semiHidden/>
    <w:unhideWhenUsed/>
    <w:rsid w:val="003C4856"/>
    <w:rPr>
      <w:color w:val="0000FF"/>
      <w:u w:val="single"/>
    </w:rPr>
  </w:style>
  <w:style w:type="paragraph" w:styleId="ListParagraph">
    <w:name w:val="List Paragraph"/>
    <w:basedOn w:val="Normal"/>
    <w:uiPriority w:val="34"/>
    <w:qFormat/>
    <w:rsid w:val="003C4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93139">
      <w:bodyDiv w:val="1"/>
      <w:marLeft w:val="0"/>
      <w:marRight w:val="0"/>
      <w:marTop w:val="0"/>
      <w:marBottom w:val="0"/>
      <w:divBdr>
        <w:top w:val="none" w:sz="0" w:space="0" w:color="auto"/>
        <w:left w:val="none" w:sz="0" w:space="0" w:color="auto"/>
        <w:bottom w:val="none" w:sz="0" w:space="0" w:color="auto"/>
        <w:right w:val="none" w:sz="0" w:space="0" w:color="auto"/>
      </w:divBdr>
    </w:div>
    <w:div w:id="566919155">
      <w:bodyDiv w:val="1"/>
      <w:marLeft w:val="0"/>
      <w:marRight w:val="0"/>
      <w:marTop w:val="0"/>
      <w:marBottom w:val="0"/>
      <w:divBdr>
        <w:top w:val="none" w:sz="0" w:space="0" w:color="auto"/>
        <w:left w:val="none" w:sz="0" w:space="0" w:color="auto"/>
        <w:bottom w:val="none" w:sz="0" w:space="0" w:color="auto"/>
        <w:right w:val="none" w:sz="0" w:space="0" w:color="auto"/>
      </w:divBdr>
    </w:div>
    <w:div w:id="970860872">
      <w:bodyDiv w:val="1"/>
      <w:marLeft w:val="0"/>
      <w:marRight w:val="0"/>
      <w:marTop w:val="0"/>
      <w:marBottom w:val="0"/>
      <w:divBdr>
        <w:top w:val="none" w:sz="0" w:space="0" w:color="auto"/>
        <w:left w:val="none" w:sz="0" w:space="0" w:color="auto"/>
        <w:bottom w:val="none" w:sz="0" w:space="0" w:color="auto"/>
        <w:right w:val="none" w:sz="0" w:space="0" w:color="auto"/>
      </w:divBdr>
      <w:divsChild>
        <w:div w:id="1190218382">
          <w:marLeft w:val="0"/>
          <w:marRight w:val="0"/>
          <w:marTop w:val="75"/>
          <w:marBottom w:val="0"/>
          <w:divBdr>
            <w:top w:val="none" w:sz="0" w:space="0" w:color="auto"/>
            <w:left w:val="none" w:sz="0" w:space="0" w:color="auto"/>
            <w:bottom w:val="none" w:sz="0" w:space="0" w:color="auto"/>
            <w:right w:val="none" w:sz="0" w:space="0" w:color="auto"/>
          </w:divBdr>
          <w:divsChild>
            <w:div w:id="1777098343">
              <w:blockQuote w:val="1"/>
              <w:marLeft w:val="450"/>
              <w:marRight w:val="0"/>
              <w:marTop w:val="0"/>
              <w:marBottom w:val="0"/>
              <w:divBdr>
                <w:top w:val="single" w:sz="2" w:space="2" w:color="CCCCCC"/>
                <w:left w:val="single" w:sz="36" w:space="15" w:color="CCCCCC"/>
                <w:bottom w:val="single" w:sz="2" w:space="2" w:color="CCCCCC"/>
                <w:right w:val="single" w:sz="2" w:space="6" w:color="CCCCCC"/>
              </w:divBdr>
            </w:div>
          </w:divsChild>
        </w:div>
      </w:divsChild>
    </w:div>
    <w:div w:id="21149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ai-chinh/nghi-dinh-93-2019-nd-cp-178539-d1.html" TargetMode="External"/><Relationship Id="rId3" Type="http://schemas.openxmlformats.org/officeDocument/2006/relationships/settings" Target="settings.xml"/><Relationship Id="rId7" Type="http://schemas.openxmlformats.org/officeDocument/2006/relationships/hyperlink" Target="https://luatvietnam.vn/chinh-sach/nghi-dinh-30-2012-nd-cp-chinh-phu-69632-d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thue-phi/cach-xac-dinh-ca-nhan-cu-tru-va-ca-nhan-khong-cu-tru-565-22423-article.html" TargetMode="External"/><Relationship Id="rId11" Type="http://schemas.openxmlformats.org/officeDocument/2006/relationships/fontTable" Target="fontTable.xml"/><Relationship Id="rId5" Type="http://schemas.openxmlformats.org/officeDocument/2006/relationships/hyperlink" Target="https://luatvietnam.vn/thue/thong-tu-111-2013-tt-btc-thue-thu-nhap-ca-nhan-80846-d1.html" TargetMode="External"/><Relationship Id="rId10" Type="http://schemas.openxmlformats.org/officeDocument/2006/relationships/hyperlink" Target="https://luatvietnam.vn/tai-chinh/nghi-dinh-93-2019-nd-cp-178539-d1.html" TargetMode="External"/><Relationship Id="rId4" Type="http://schemas.openxmlformats.org/officeDocument/2006/relationships/webSettings" Target="webSettings.xml"/><Relationship Id="rId9" Type="http://schemas.openxmlformats.org/officeDocument/2006/relationships/hyperlink" Target="https://luatvietnam.vn/chinh-sach/nghi-dinh-30-2012-nd-cp-chinh-phu-69632-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c:creator>
  <cp:keywords/>
  <dc:description/>
  <cp:lastModifiedBy>Windows User</cp:lastModifiedBy>
  <cp:revision>2</cp:revision>
  <dcterms:created xsi:type="dcterms:W3CDTF">2020-12-16T00:48:00Z</dcterms:created>
  <dcterms:modified xsi:type="dcterms:W3CDTF">2020-12-16T00:48:00Z</dcterms:modified>
</cp:coreProperties>
</file>