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0DED1" w14:textId="65E6C1B6" w:rsidR="00DB15F6" w:rsidRPr="00E02C50" w:rsidRDefault="001F7D26" w:rsidP="004E5B47">
      <w:pPr>
        <w:jc w:val="center"/>
        <w:rPr>
          <w:b/>
          <w:iCs/>
          <w:color w:val="000000"/>
          <w:sz w:val="26"/>
          <w:szCs w:val="26"/>
        </w:rPr>
      </w:pPr>
      <w:r w:rsidRPr="00E02C50">
        <w:rPr>
          <w:b/>
          <w:iCs/>
          <w:color w:val="000000"/>
          <w:sz w:val="26"/>
          <w:szCs w:val="26"/>
        </w:rPr>
        <w:t>CÁC LOẠI RỦI RO TRONG PHÂN TÍCH DỰ ÁN</w:t>
      </w:r>
    </w:p>
    <w:p w14:paraId="73FA6CF0" w14:textId="195BF5DF" w:rsidR="00DB15F6" w:rsidRPr="00E02C50" w:rsidRDefault="00A25075" w:rsidP="004E5B47">
      <w:pPr>
        <w:ind w:firstLine="720"/>
        <w:jc w:val="center"/>
        <w:rPr>
          <w:b/>
          <w:i/>
          <w:color w:val="000000"/>
          <w:sz w:val="26"/>
          <w:szCs w:val="26"/>
        </w:rPr>
      </w:pPr>
      <w:r w:rsidRPr="00E02C50">
        <w:rPr>
          <w:b/>
          <w:i/>
          <w:color w:val="000000"/>
          <w:sz w:val="26"/>
          <w:szCs w:val="26"/>
        </w:rPr>
        <w:t>Th.S Lê Thị Huyền Trâm</w:t>
      </w:r>
    </w:p>
    <w:p w14:paraId="2EFDAF37" w14:textId="293F9DBC" w:rsidR="00A25075" w:rsidRPr="00E02C50" w:rsidRDefault="00A25075" w:rsidP="004E5B47">
      <w:pPr>
        <w:ind w:firstLine="720"/>
        <w:jc w:val="center"/>
        <w:rPr>
          <w:b/>
          <w:i/>
          <w:color w:val="000000"/>
          <w:sz w:val="26"/>
          <w:szCs w:val="26"/>
        </w:rPr>
      </w:pPr>
      <w:r w:rsidRPr="00E02C50">
        <w:rPr>
          <w:b/>
          <w:i/>
          <w:color w:val="000000"/>
          <w:sz w:val="26"/>
          <w:szCs w:val="26"/>
        </w:rPr>
        <w:t>Khoa Kế toán – Đại học Duy Tân, T</w:t>
      </w:r>
      <w:r w:rsidR="00275035" w:rsidRPr="00E02C50">
        <w:rPr>
          <w:b/>
          <w:i/>
          <w:color w:val="000000"/>
          <w:sz w:val="26"/>
          <w:szCs w:val="26"/>
        </w:rPr>
        <w:t>P</w:t>
      </w:r>
      <w:r w:rsidRPr="00E02C50">
        <w:rPr>
          <w:b/>
          <w:i/>
          <w:color w:val="000000"/>
          <w:sz w:val="26"/>
          <w:szCs w:val="26"/>
        </w:rPr>
        <w:t xml:space="preserve"> Đà Nẵng</w:t>
      </w:r>
    </w:p>
    <w:p w14:paraId="59B05317" w14:textId="5C8CAEF4" w:rsidR="00A25075" w:rsidRPr="00E02C50" w:rsidRDefault="00A25075" w:rsidP="004E5B47">
      <w:pPr>
        <w:jc w:val="both"/>
        <w:rPr>
          <w:b/>
          <w:iCs/>
          <w:sz w:val="26"/>
          <w:szCs w:val="26"/>
        </w:rPr>
      </w:pPr>
      <w:r w:rsidRPr="00E02C50">
        <w:rPr>
          <w:b/>
          <w:iCs/>
          <w:sz w:val="26"/>
          <w:szCs w:val="26"/>
        </w:rPr>
        <w:t>Tóm tắt</w:t>
      </w:r>
    </w:p>
    <w:p w14:paraId="4BEC3F36" w14:textId="0E3F2020" w:rsidR="00CB2F83" w:rsidRPr="00E02C50" w:rsidRDefault="00E02C50" w:rsidP="004E5B47">
      <w:pPr>
        <w:spacing w:before="60" w:after="60"/>
        <w:ind w:firstLine="720"/>
        <w:jc w:val="both"/>
        <w:rPr>
          <w:sz w:val="26"/>
          <w:szCs w:val="26"/>
        </w:rPr>
      </w:pPr>
      <w:r w:rsidRPr="00E02C50">
        <w:rPr>
          <w:sz w:val="26"/>
          <w:szCs w:val="26"/>
        </w:rPr>
        <w:t>Rủi ro còn được hiểu là những bất trắc ngoài ý muốn xảy ra trong quá trình kinh doanh, sản xuất của doanh nghiệp, tác động xấu đến sự tồn tại và phát triển của một doanh nghiệp.</w:t>
      </w:r>
      <w:r w:rsidRPr="00E02C50">
        <w:rPr>
          <w:sz w:val="26"/>
          <w:szCs w:val="26"/>
        </w:rPr>
        <w:t xml:space="preserve"> </w:t>
      </w:r>
      <w:r w:rsidRPr="00E02C50">
        <w:rPr>
          <w:sz w:val="26"/>
          <w:szCs w:val="26"/>
        </w:rPr>
        <w:t>Nếu tích cực nghiên cứu rủi ro, người ta có thể tìm ra những biện pháp phòng ngừa, hạn chế những rủi ro tiêu cực, đón nhận những cơ hội mang lại</w:t>
      </w:r>
      <w:r w:rsidRPr="00E02C50">
        <w:rPr>
          <w:sz w:val="26"/>
          <w:szCs w:val="26"/>
        </w:rPr>
        <w:t xml:space="preserve"> kết quả tốt đẹp cho tương lai. </w:t>
      </w:r>
      <w:r w:rsidR="00CB2F83" w:rsidRPr="00E02C50">
        <w:rPr>
          <w:sz w:val="26"/>
          <w:szCs w:val="26"/>
        </w:rPr>
        <w:t xml:space="preserve">Bài viết tìm hiểu thêm về </w:t>
      </w:r>
      <w:r w:rsidRPr="00E02C50">
        <w:rPr>
          <w:sz w:val="26"/>
          <w:szCs w:val="26"/>
        </w:rPr>
        <w:t>các loại rủi ro trong phân tích dự án</w:t>
      </w:r>
    </w:p>
    <w:p w14:paraId="74235189" w14:textId="392AF44B" w:rsidR="00A25075" w:rsidRPr="00E02C50" w:rsidRDefault="00A25075" w:rsidP="004E5B47">
      <w:pPr>
        <w:jc w:val="both"/>
        <w:rPr>
          <w:b/>
          <w:iCs/>
          <w:sz w:val="26"/>
          <w:szCs w:val="26"/>
        </w:rPr>
      </w:pPr>
      <w:r w:rsidRPr="00E02C50">
        <w:rPr>
          <w:b/>
          <w:iCs/>
          <w:sz w:val="26"/>
          <w:szCs w:val="26"/>
        </w:rPr>
        <w:t xml:space="preserve">Từ khóa: </w:t>
      </w:r>
      <w:r w:rsidR="00E02C50" w:rsidRPr="00E02C50">
        <w:rPr>
          <w:bCs/>
          <w:i/>
          <w:sz w:val="26"/>
          <w:szCs w:val="26"/>
        </w:rPr>
        <w:t>Rủi ro</w:t>
      </w:r>
      <w:r w:rsidRPr="00E02C50">
        <w:rPr>
          <w:bCs/>
          <w:i/>
          <w:sz w:val="26"/>
          <w:szCs w:val="26"/>
        </w:rPr>
        <w:t xml:space="preserve">, </w:t>
      </w:r>
      <w:r w:rsidR="00E02C50" w:rsidRPr="00E02C50">
        <w:rPr>
          <w:bCs/>
          <w:i/>
          <w:sz w:val="26"/>
          <w:szCs w:val="26"/>
        </w:rPr>
        <w:t>dự án</w:t>
      </w:r>
      <w:r w:rsidRPr="00E02C50">
        <w:rPr>
          <w:bCs/>
          <w:i/>
          <w:sz w:val="26"/>
          <w:szCs w:val="26"/>
        </w:rPr>
        <w:t xml:space="preserve">, </w:t>
      </w:r>
      <w:r w:rsidR="00E02C50" w:rsidRPr="00E02C50">
        <w:rPr>
          <w:bCs/>
          <w:i/>
          <w:sz w:val="26"/>
          <w:szCs w:val="26"/>
        </w:rPr>
        <w:t>phân tích</w:t>
      </w:r>
      <w:r w:rsidR="00CB2F83" w:rsidRPr="00E02C50">
        <w:rPr>
          <w:bCs/>
          <w:i/>
          <w:sz w:val="26"/>
          <w:szCs w:val="26"/>
        </w:rPr>
        <w:t>.</w:t>
      </w:r>
    </w:p>
    <w:p w14:paraId="04910D8B" w14:textId="46900CD0" w:rsidR="00DB15F6" w:rsidRPr="00E02C50" w:rsidRDefault="00E02C50" w:rsidP="004E5B47">
      <w:pPr>
        <w:pStyle w:val="ListParagraph"/>
        <w:numPr>
          <w:ilvl w:val="0"/>
          <w:numId w:val="1"/>
        </w:numPr>
        <w:jc w:val="both"/>
        <w:rPr>
          <w:b/>
          <w:bCs/>
          <w:color w:val="000000"/>
          <w:sz w:val="26"/>
          <w:szCs w:val="26"/>
        </w:rPr>
      </w:pPr>
      <w:r>
        <w:rPr>
          <w:b/>
          <w:bCs/>
          <w:color w:val="000000"/>
          <w:sz w:val="26"/>
          <w:szCs w:val="26"/>
        </w:rPr>
        <w:t>Khái niệm</w:t>
      </w:r>
      <w:r w:rsidR="00936787">
        <w:rPr>
          <w:b/>
          <w:bCs/>
          <w:color w:val="000000"/>
          <w:sz w:val="26"/>
          <w:szCs w:val="26"/>
        </w:rPr>
        <w:t xml:space="preserve"> rủi ro</w:t>
      </w:r>
    </w:p>
    <w:p w14:paraId="1F486FCA" w14:textId="77777777" w:rsidR="00936787" w:rsidRDefault="00936787" w:rsidP="004E5B47">
      <w:pPr>
        <w:spacing w:before="60" w:after="60"/>
        <w:ind w:firstLine="720"/>
        <w:jc w:val="both"/>
        <w:rPr>
          <w:sz w:val="26"/>
          <w:szCs w:val="26"/>
        </w:rPr>
      </w:pPr>
      <w:r w:rsidRPr="00936787">
        <w:rPr>
          <w:sz w:val="26"/>
          <w:szCs w:val="26"/>
        </w:rPr>
        <w:t>R</w:t>
      </w:r>
      <w:r w:rsidRPr="00936787">
        <w:rPr>
          <w:sz w:val="26"/>
          <w:szCs w:val="26"/>
        </w:rPr>
        <w:t>ủi ro là những thiệt hại, mất mát, nguy hiểm hoặc các yếu tố liên quan đến nguy hiểm, khó khăn hoặc điều không chắc chắn có thể xảy ra cho con người. Theo trường phái hiện đại, rủi ro là sự bất trắc có thể đo lường được, vừa mang tính tích cực, vừa mang tính tiêu cực. Rủi ro có thể mang đến những tổn thất mất mát cho con người nhưng cũng có thể mang lại những lợi ích, những cơ hội.</w:t>
      </w:r>
    </w:p>
    <w:p w14:paraId="58DCDF9E" w14:textId="393A7CC1" w:rsidR="00A25075" w:rsidRPr="00936787" w:rsidRDefault="00936787" w:rsidP="004E5B47">
      <w:pPr>
        <w:jc w:val="both"/>
        <w:rPr>
          <w:b/>
          <w:bCs/>
          <w:color w:val="000000"/>
          <w:sz w:val="26"/>
          <w:szCs w:val="26"/>
        </w:rPr>
      </w:pPr>
      <w:r w:rsidRPr="00936787">
        <w:rPr>
          <w:b/>
          <w:sz w:val="26"/>
          <w:szCs w:val="26"/>
        </w:rPr>
        <w:t xml:space="preserve">2. </w:t>
      </w:r>
      <w:r w:rsidR="00E02C50" w:rsidRPr="00936787">
        <w:rPr>
          <w:b/>
          <w:bCs/>
          <w:color w:val="000000"/>
          <w:sz w:val="26"/>
          <w:szCs w:val="26"/>
        </w:rPr>
        <w:t>Phân loại rủi ro</w:t>
      </w:r>
    </w:p>
    <w:p w14:paraId="6B44ED57" w14:textId="44EA1734" w:rsidR="001F7D26" w:rsidRPr="00E02C50" w:rsidRDefault="00E02C50" w:rsidP="004E5B47">
      <w:pPr>
        <w:spacing w:before="60" w:after="60"/>
        <w:ind w:left="360"/>
        <w:jc w:val="both"/>
        <w:rPr>
          <w:sz w:val="26"/>
          <w:szCs w:val="26"/>
        </w:rPr>
      </w:pPr>
      <w:r w:rsidRPr="00E02C50">
        <w:rPr>
          <w:b/>
          <w:sz w:val="26"/>
          <w:szCs w:val="26"/>
        </w:rPr>
        <w:t xml:space="preserve">* </w:t>
      </w:r>
      <w:r w:rsidR="001F7D26" w:rsidRPr="00E02C50">
        <w:rPr>
          <w:b/>
          <w:sz w:val="26"/>
          <w:szCs w:val="26"/>
        </w:rPr>
        <w:t xml:space="preserve">Rủi ro loại 1: </w:t>
      </w:r>
      <w:r w:rsidR="001F7D26" w:rsidRPr="00E02C50">
        <w:rPr>
          <w:sz w:val="26"/>
          <w:szCs w:val="26"/>
        </w:rPr>
        <w:t>đây là loại rủi ro riêng rẽ của chính bản thân dự án, tức là rủi ro của một tài sản khi nó là tài sản duy nhất của công ty. Rủi ro loại này được đo bằng sự biến thiên của lãi suất mong đợi của dự án.</w:t>
      </w:r>
    </w:p>
    <w:p w14:paraId="4E5216BF" w14:textId="77777777" w:rsidR="001F7D26" w:rsidRPr="00E02C50" w:rsidRDefault="001F7D26" w:rsidP="004E5B47">
      <w:pPr>
        <w:pStyle w:val="NormalWeb"/>
        <w:shd w:val="clear" w:color="auto" w:fill="FFFFFF"/>
        <w:spacing w:before="60" w:after="60"/>
        <w:ind w:firstLine="360"/>
        <w:jc w:val="both"/>
        <w:rPr>
          <w:color w:val="333333"/>
          <w:sz w:val="26"/>
          <w:szCs w:val="26"/>
        </w:rPr>
      </w:pPr>
      <w:r w:rsidRPr="00E02C50">
        <w:rPr>
          <w:rStyle w:val="Strong"/>
          <w:i/>
          <w:iCs/>
          <w:color w:val="000000"/>
          <w:sz w:val="26"/>
          <w:szCs w:val="26"/>
          <w:bdr w:val="none" w:sz="0" w:space="0" w:color="auto" w:frame="1"/>
        </w:rPr>
        <w:t>Rủi ro riêng của dự án</w:t>
      </w:r>
      <w:r w:rsidRPr="00E02C50">
        <w:rPr>
          <w:color w:val="000000"/>
          <w:sz w:val="26"/>
          <w:szCs w:val="26"/>
          <w:bdr w:val="none" w:sz="0" w:space="0" w:color="auto" w:frame="1"/>
        </w:rPr>
        <w:t>: là rủi ro của chính dự án mang lại. Rủi ro riêng của dự án đầu tư có thể do nhiều yếu tố như lĩnh vự kinh doanh của dự án, quy mô của dự án, thời gian hoạt động của dự án,…</w:t>
      </w:r>
    </w:p>
    <w:p w14:paraId="3E3F713B" w14:textId="1A20BC62" w:rsidR="001F7D26" w:rsidRPr="00E02C50" w:rsidRDefault="00E02C50" w:rsidP="004E5B47">
      <w:pPr>
        <w:spacing w:before="60" w:after="60"/>
        <w:ind w:firstLine="360"/>
        <w:jc w:val="both"/>
        <w:rPr>
          <w:sz w:val="26"/>
          <w:szCs w:val="26"/>
        </w:rPr>
      </w:pPr>
      <w:r w:rsidRPr="00E02C50">
        <w:rPr>
          <w:b/>
          <w:sz w:val="26"/>
          <w:szCs w:val="26"/>
        </w:rPr>
        <w:t xml:space="preserve">* </w:t>
      </w:r>
      <w:r w:rsidR="001F7D26" w:rsidRPr="00E02C50">
        <w:rPr>
          <w:b/>
          <w:sz w:val="26"/>
          <w:szCs w:val="26"/>
        </w:rPr>
        <w:t>Rủi ro loại 2:</w:t>
      </w:r>
      <w:r w:rsidR="001F7D26" w:rsidRPr="00E02C50">
        <w:rPr>
          <w:sz w:val="26"/>
          <w:szCs w:val="26"/>
        </w:rPr>
        <w:t xml:space="preserve"> rủi ro loại này chỉ đề cập đến ảnh hưởng của dự án đối với rủi ro của công ty mà không tính đến ảnh hưởng của việc dàn trải rủi ro bởi chính những chủ sở hữu công ty. Rủi ro loại này được đo bằng sự tác động của dự án dối với sự biến thiên thu nhập của công ty.</w:t>
      </w:r>
    </w:p>
    <w:p w14:paraId="22E7C817" w14:textId="207EFABB" w:rsidR="001F7D26" w:rsidRPr="00E02C50" w:rsidRDefault="001F7D26" w:rsidP="004E5B47">
      <w:pPr>
        <w:pStyle w:val="NormalWeb"/>
        <w:shd w:val="clear" w:color="auto" w:fill="FFFFFF"/>
        <w:spacing w:before="60" w:after="60"/>
        <w:ind w:firstLine="360"/>
        <w:jc w:val="both"/>
        <w:rPr>
          <w:color w:val="333333"/>
          <w:sz w:val="26"/>
          <w:szCs w:val="26"/>
        </w:rPr>
      </w:pPr>
      <w:r w:rsidRPr="00E02C50">
        <w:rPr>
          <w:rStyle w:val="Strong"/>
          <w:i/>
          <w:iCs/>
          <w:color w:val="000000"/>
          <w:sz w:val="26"/>
          <w:szCs w:val="26"/>
          <w:bdr w:val="none" w:sz="0" w:space="0" w:color="auto" w:frame="1"/>
        </w:rPr>
        <w:t>Rủi ro công ty của dự án: </w:t>
      </w:r>
      <w:r w:rsidRPr="00E02C50">
        <w:rPr>
          <w:color w:val="000000"/>
          <w:sz w:val="26"/>
          <w:szCs w:val="26"/>
          <w:bdr w:val="none" w:sz="0" w:space="0" w:color="auto" w:frame="1"/>
        </w:rPr>
        <w:t>là rủi ro ảnh hưởng đến tổng lợi nhuận của DN. Khi thực hiện một dự án đầu tư mới, DN sẽ có một danh mục đàu tư lớn hơn và việc chấp nhận thêm một dự án đầu tư mới sẽ ảnh hưởng đến lợi nhuận của danh mục đầu tư hiện tại, khi đó lợi nhuân của danh mục đầu tư mới lớn hơn, có thể thấp hơn, và thậm chí là không đổi. Nh</w:t>
      </w:r>
      <w:r w:rsidR="00E02C50" w:rsidRPr="00E02C50">
        <w:rPr>
          <w:color w:val="000000"/>
          <w:sz w:val="26"/>
          <w:szCs w:val="26"/>
          <w:bdr w:val="none" w:sz="0" w:space="0" w:color="auto" w:frame="1"/>
        </w:rPr>
        <w:t>ư vậy, sự thay đổi lợi nhuận của danh mục đầ</w:t>
      </w:r>
      <w:r w:rsidRPr="00E02C50">
        <w:rPr>
          <w:color w:val="000000"/>
          <w:sz w:val="26"/>
          <w:szCs w:val="26"/>
          <w:bdr w:val="none" w:sz="0" w:space="0" w:color="auto" w:frame="1"/>
        </w:rPr>
        <w:t>u tư mới khi thực</w:t>
      </w:r>
      <w:r w:rsidR="00E02C50" w:rsidRPr="00E02C50">
        <w:rPr>
          <w:color w:val="000000"/>
          <w:sz w:val="26"/>
          <w:szCs w:val="26"/>
          <w:bdr w:val="none" w:sz="0" w:space="0" w:color="auto" w:frame="1"/>
        </w:rPr>
        <w:t xml:space="preserve"> hiện dự án so với lợi nhuận của</w:t>
      </w:r>
      <w:r w:rsidRPr="00E02C50">
        <w:rPr>
          <w:color w:val="000000"/>
          <w:sz w:val="26"/>
          <w:szCs w:val="26"/>
          <w:bdr w:val="none" w:sz="0" w:space="0" w:color="auto" w:frame="1"/>
        </w:rPr>
        <w:t xml:space="preserve"> danh mục đầu tư hiện tại được dùng để đo lường rủi ro công ty của dự án đầu tư</w:t>
      </w:r>
    </w:p>
    <w:p w14:paraId="30F3E429" w14:textId="626A6612" w:rsidR="001F7D26" w:rsidRPr="00E02C50" w:rsidRDefault="00E02C50" w:rsidP="004E5B47">
      <w:pPr>
        <w:spacing w:before="60" w:after="60"/>
        <w:ind w:left="360"/>
        <w:jc w:val="both"/>
        <w:rPr>
          <w:sz w:val="26"/>
          <w:szCs w:val="26"/>
        </w:rPr>
      </w:pPr>
      <w:r w:rsidRPr="00E02C50">
        <w:rPr>
          <w:b/>
          <w:sz w:val="26"/>
          <w:szCs w:val="26"/>
        </w:rPr>
        <w:t xml:space="preserve">* </w:t>
      </w:r>
      <w:r w:rsidR="001F7D26" w:rsidRPr="00E02C50">
        <w:rPr>
          <w:b/>
          <w:sz w:val="26"/>
          <w:szCs w:val="26"/>
        </w:rPr>
        <w:t>Rủi ro loại 3:</w:t>
      </w:r>
      <w:r w:rsidR="001F7D26" w:rsidRPr="00E02C50">
        <w:rPr>
          <w:sz w:val="26"/>
          <w:szCs w:val="26"/>
        </w:rPr>
        <w:t xml:space="preserve"> đây là rủi ro của dự án được đánh giá từ quan điểm của nhà đầu tư cổ phiếu. Đó là phần rủi ro của dự án mà không thể loại bỏ được bằng việc đa dạng hóa đầu tư. Rủi ro loại này được đo bằng hệ số beta của dự án.</w:t>
      </w:r>
    </w:p>
    <w:p w14:paraId="1784CF84" w14:textId="77777777" w:rsidR="001F7D26" w:rsidRPr="00E02C50" w:rsidRDefault="001F7D26" w:rsidP="004E5B47">
      <w:pPr>
        <w:pStyle w:val="NormalWeb"/>
        <w:shd w:val="clear" w:color="auto" w:fill="FFFFFF"/>
        <w:spacing w:before="60" w:after="60"/>
        <w:jc w:val="both"/>
        <w:rPr>
          <w:color w:val="333333"/>
          <w:sz w:val="26"/>
          <w:szCs w:val="26"/>
        </w:rPr>
      </w:pPr>
      <w:r w:rsidRPr="00E02C50">
        <w:rPr>
          <w:rStyle w:val="Strong"/>
          <w:i/>
          <w:iCs/>
          <w:color w:val="000000"/>
          <w:sz w:val="26"/>
          <w:szCs w:val="26"/>
          <w:bdr w:val="none" w:sz="0" w:space="0" w:color="auto" w:frame="1"/>
        </w:rPr>
        <w:t>Rủi ro thị trường (rủi ro beta)</w:t>
      </w:r>
    </w:p>
    <w:p w14:paraId="5D19AD87" w14:textId="77777777" w:rsidR="001F7D26" w:rsidRPr="00E02C50" w:rsidRDefault="001F7D26" w:rsidP="004E5B47">
      <w:pPr>
        <w:pStyle w:val="NormalWeb"/>
        <w:shd w:val="clear" w:color="auto" w:fill="FFFFFF"/>
        <w:spacing w:before="60" w:after="60"/>
        <w:jc w:val="both"/>
        <w:rPr>
          <w:color w:val="333333"/>
          <w:sz w:val="26"/>
          <w:szCs w:val="26"/>
        </w:rPr>
      </w:pPr>
      <w:r w:rsidRPr="00E02C50">
        <w:rPr>
          <w:color w:val="000000"/>
          <w:sz w:val="26"/>
          <w:szCs w:val="26"/>
          <w:bdr w:val="none" w:sz="0" w:space="0" w:color="auto" w:frame="1"/>
        </w:rPr>
        <w:t>Mỗi dự án đầu tư mà doanh nghiệp đang thực hiện sẽ có một hệ sô beta của mình và với tỷ trọng đầu tư của từng dự án sẽ tạo thành một hệ số beta của danh mục đầu tư</w:t>
      </w:r>
    </w:p>
    <w:p w14:paraId="3D23052F" w14:textId="77777777" w:rsidR="001F7D26" w:rsidRPr="00E02C50" w:rsidRDefault="001F7D26" w:rsidP="004E5B47">
      <w:pPr>
        <w:pStyle w:val="NormalWeb"/>
        <w:shd w:val="clear" w:color="auto" w:fill="FFFFFF"/>
        <w:spacing w:before="60" w:after="60"/>
        <w:jc w:val="both"/>
        <w:rPr>
          <w:sz w:val="26"/>
          <w:szCs w:val="26"/>
          <w:bdr w:val="none" w:sz="0" w:space="0" w:color="auto" w:frame="1"/>
        </w:rPr>
      </w:pPr>
      <w:r w:rsidRPr="00E02C50">
        <w:rPr>
          <w:sz w:val="26"/>
          <w:szCs w:val="26"/>
          <w:bdr w:val="none" w:sz="0" w:space="0" w:color="auto" w:frame="1"/>
        </w:rPr>
        <w:lastRenderedPageBreak/>
        <w:t>Một dự án đầu tư mới cũng sẽ có hệ số beta và khi DN chấp nhận thực hiện dự án thì danh mục đầu tư của DN sẽ có thêm dự án mới với hệ số beta có thể cao hơn, thấp hơn hoặc bằng với hệ số beta của danh mục đàu tư hiện tại.</w:t>
      </w:r>
      <w:r w:rsidRPr="00E02C50">
        <w:rPr>
          <w:color w:val="333333"/>
          <w:sz w:val="26"/>
          <w:szCs w:val="26"/>
        </w:rPr>
        <w:br/>
      </w:r>
      <w:r w:rsidRPr="00E02C50">
        <w:rPr>
          <w:sz w:val="26"/>
          <w:szCs w:val="26"/>
          <w:bdr w:val="none" w:sz="0" w:space="0" w:color="auto" w:frame="1"/>
        </w:rPr>
        <w:t>Rủi ro thị trường của một dự án đầu tư có thể được đo lường thông qua sự ảnh hưởng của dự án đến hệ số beta của danh mục đầu tư của DN.</w:t>
      </w:r>
    </w:p>
    <w:p w14:paraId="7CAFE012" w14:textId="23B09286" w:rsidR="001F7D26" w:rsidRPr="00E02C50" w:rsidRDefault="00E02C50" w:rsidP="004E5B47">
      <w:pPr>
        <w:spacing w:before="60" w:after="60"/>
        <w:jc w:val="both"/>
        <w:rPr>
          <w:b/>
          <w:sz w:val="26"/>
          <w:szCs w:val="26"/>
        </w:rPr>
      </w:pPr>
      <w:r w:rsidRPr="00E02C50">
        <w:rPr>
          <w:b/>
          <w:sz w:val="26"/>
          <w:szCs w:val="26"/>
        </w:rPr>
        <w:t xml:space="preserve">* </w:t>
      </w:r>
      <w:r w:rsidR="001F7D26" w:rsidRPr="00E02C50">
        <w:rPr>
          <w:b/>
          <w:sz w:val="26"/>
          <w:szCs w:val="26"/>
        </w:rPr>
        <w:t>Rủi ro thuần túy và rủi ro theo suy tính (pure  risk &amp; speculative risk)</w:t>
      </w:r>
    </w:p>
    <w:p w14:paraId="0234160B" w14:textId="03504743" w:rsidR="001F7D26" w:rsidRPr="00E02C50" w:rsidRDefault="00E02C50" w:rsidP="004E5B47">
      <w:pPr>
        <w:spacing w:before="60" w:after="60"/>
        <w:jc w:val="both"/>
        <w:rPr>
          <w:sz w:val="26"/>
          <w:szCs w:val="26"/>
        </w:rPr>
      </w:pPr>
      <w:r w:rsidRPr="00E02C50">
        <w:rPr>
          <w:sz w:val="26"/>
          <w:szCs w:val="26"/>
        </w:rPr>
        <w:t xml:space="preserve">- </w:t>
      </w:r>
      <w:r w:rsidR="001F7D26" w:rsidRPr="00304839">
        <w:rPr>
          <w:i/>
          <w:sz w:val="26"/>
          <w:szCs w:val="26"/>
        </w:rPr>
        <w:t>Rủi ro thuần túy</w:t>
      </w:r>
      <w:r w:rsidR="001F7D26" w:rsidRPr="00E02C50">
        <w:rPr>
          <w:sz w:val="26"/>
          <w:szCs w:val="26"/>
        </w:rPr>
        <w:t xml:space="preserve"> là loại rủi ro mà nếu nó xãy ra sẽ dẫn đến kết quả tổn thất về kinh tế. Loại rủi ro này có đặc điểm sau: thứ nhất, rủi ro thuần túy nếu xảy ra thường đưa đến kết quả mất mát hoặc tổn thất. Ví dụ, rủi ro hỏa hoạn sẽ làm mất mát một số tài sản, nhưng nếu không bị hỏa hoạn sẽ không bị thiệt hại. Thứ hai, rủi ro thuần túy là loại rủi ro liên quan đến việc phá hủy tài sản (nếu hỏa hoạn thì tòa nhà bị phá hủy). Thứ ba, biện pháp đối phó với rủi ro này là bảo hiểm.</w:t>
      </w:r>
    </w:p>
    <w:p w14:paraId="233E4F15" w14:textId="1A79F5B0" w:rsidR="001F7D26" w:rsidRPr="00E02C50" w:rsidRDefault="00E02C50" w:rsidP="004E5B47">
      <w:pPr>
        <w:spacing w:before="60" w:after="60"/>
        <w:jc w:val="both"/>
        <w:rPr>
          <w:sz w:val="26"/>
          <w:szCs w:val="26"/>
        </w:rPr>
      </w:pPr>
      <w:r w:rsidRPr="00E02C50">
        <w:rPr>
          <w:sz w:val="26"/>
          <w:szCs w:val="26"/>
        </w:rPr>
        <w:t xml:space="preserve">- </w:t>
      </w:r>
      <w:r w:rsidR="001F7D26" w:rsidRPr="00304839">
        <w:rPr>
          <w:i/>
          <w:sz w:val="26"/>
          <w:szCs w:val="26"/>
        </w:rPr>
        <w:t>Rủi ro suy tính</w:t>
      </w:r>
      <w:r w:rsidR="001F7D26" w:rsidRPr="00E02C50">
        <w:rPr>
          <w:sz w:val="26"/>
          <w:szCs w:val="26"/>
        </w:rPr>
        <w:t xml:space="preserve"> là loại rủi ro do ảnh hưởng của những nguyên nhân khó dự đoán, phạm vi ảnh hưởng rất rộng lớn. Rủi ro suy tính là loại rủi ro thường xảy ra trong thực tế. Ví dụ, rủi ro hay đổi giá cả, mức thuế không ổn định, tình hình chính trị không ổn định. Tăng giá có thể mang lại nhiều lời lớn. Đặc điểm cơ bản của loại rủi ro này là thường không được bảo hiểm nhưng có thể đối phó bằng biện pháp rào chắn (hedging).</w:t>
      </w:r>
    </w:p>
    <w:p w14:paraId="6790C573" w14:textId="3C743EDC" w:rsidR="00DB4E99" w:rsidRPr="00304839" w:rsidRDefault="00DB4E99" w:rsidP="004E5B47">
      <w:pPr>
        <w:jc w:val="both"/>
        <w:rPr>
          <w:b/>
          <w:bCs/>
          <w:sz w:val="26"/>
          <w:szCs w:val="26"/>
        </w:rPr>
      </w:pPr>
      <w:r w:rsidRPr="00304839">
        <w:rPr>
          <w:b/>
          <w:bCs/>
          <w:sz w:val="26"/>
          <w:szCs w:val="26"/>
        </w:rPr>
        <w:t>4. Kết luận</w:t>
      </w:r>
    </w:p>
    <w:p w14:paraId="349F1159" w14:textId="77BE5D45" w:rsidR="003906EB" w:rsidRPr="003906EB" w:rsidRDefault="003906EB" w:rsidP="004E5B47">
      <w:pPr>
        <w:ind w:firstLine="720"/>
        <w:jc w:val="both"/>
        <w:rPr>
          <w:sz w:val="26"/>
          <w:szCs w:val="26"/>
        </w:rPr>
      </w:pPr>
      <w:r w:rsidRPr="003906EB">
        <w:rPr>
          <w:sz w:val="26"/>
          <w:szCs w:val="26"/>
        </w:rPr>
        <w:t>Môi trường hoạt động và tồn tại của chúng ta luôn ẩn chứa các biến cố, các sự kiện nằm ngoài dự kiến. Có những sự kiện ngoài dự kiến mang lại những tốt đẹp, thuận lợi cho cuộc sống con người. Tuy nhiên, có không ít biến cố mà không ai mong muốn vì kết cục đi kèm là các thiệt hại hay thương tổn mà con người phải gánh chịu.</w:t>
      </w:r>
      <w:r w:rsidRPr="003906EB">
        <w:rPr>
          <w:sz w:val="26"/>
          <w:szCs w:val="26"/>
        </w:rPr>
        <w:t xml:space="preserve"> </w:t>
      </w:r>
      <w:r w:rsidRPr="003906EB">
        <w:rPr>
          <w:sz w:val="26"/>
          <w:szCs w:val="26"/>
        </w:rPr>
        <w:t>Khi nghiên cứu về rủi ro, trong từng hoàn cảnh, từ các góc độ khác nhau, rủi ro có thể được diễn đạt cụ thể khác nhau.</w:t>
      </w:r>
    </w:p>
    <w:p w14:paraId="213ADB35" w14:textId="5569415F" w:rsidR="00697BC7" w:rsidRPr="00E02C50" w:rsidRDefault="00697BC7" w:rsidP="004E5B47">
      <w:pPr>
        <w:jc w:val="both"/>
        <w:rPr>
          <w:b/>
          <w:bCs/>
          <w:sz w:val="26"/>
          <w:szCs w:val="26"/>
        </w:rPr>
      </w:pPr>
      <w:r w:rsidRPr="00E02C50">
        <w:rPr>
          <w:b/>
          <w:bCs/>
          <w:sz w:val="26"/>
          <w:szCs w:val="26"/>
        </w:rPr>
        <w:t>Tài liệu tham khảo</w:t>
      </w:r>
    </w:p>
    <w:p w14:paraId="1731BD08" w14:textId="14F0EC32" w:rsidR="0028295F" w:rsidRPr="007E359A" w:rsidRDefault="0028295F" w:rsidP="0028295F">
      <w:pPr>
        <w:pStyle w:val="ListParagraph"/>
        <w:numPr>
          <w:ilvl w:val="0"/>
          <w:numId w:val="3"/>
        </w:numPr>
        <w:spacing w:line="312" w:lineRule="auto"/>
        <w:jc w:val="both"/>
        <w:rPr>
          <w:i/>
          <w:sz w:val="26"/>
          <w:szCs w:val="26"/>
        </w:rPr>
      </w:pPr>
      <w:r w:rsidRPr="007E359A">
        <w:rPr>
          <w:sz w:val="26"/>
          <w:szCs w:val="26"/>
        </w:rPr>
        <w:t xml:space="preserve">Th.S Võ Ngàn Thơ(2009), </w:t>
      </w:r>
      <w:r w:rsidRPr="007E359A">
        <w:rPr>
          <w:i/>
          <w:sz w:val="26"/>
          <w:szCs w:val="26"/>
        </w:rPr>
        <w:t>Quản trị dự án đầu tư</w:t>
      </w:r>
    </w:p>
    <w:p w14:paraId="6A2D984C" w14:textId="23BBBC02" w:rsidR="0028295F" w:rsidRPr="007E359A" w:rsidRDefault="0028295F" w:rsidP="0028295F">
      <w:pPr>
        <w:pStyle w:val="ListParagraph"/>
        <w:numPr>
          <w:ilvl w:val="0"/>
          <w:numId w:val="3"/>
        </w:numPr>
        <w:spacing w:line="312" w:lineRule="auto"/>
        <w:jc w:val="both"/>
        <w:rPr>
          <w:sz w:val="26"/>
          <w:szCs w:val="26"/>
        </w:rPr>
      </w:pPr>
      <w:r w:rsidRPr="007E359A">
        <w:rPr>
          <w:sz w:val="26"/>
          <w:szCs w:val="26"/>
        </w:rPr>
        <w:t xml:space="preserve">Nguyễn Tấn Bình (2010), </w:t>
      </w:r>
      <w:r w:rsidRPr="007E359A">
        <w:rPr>
          <w:i/>
          <w:sz w:val="26"/>
          <w:szCs w:val="26"/>
        </w:rPr>
        <w:t>Quản trị tài chính ngắn hạn</w:t>
      </w:r>
      <w:r w:rsidRPr="007E359A">
        <w:rPr>
          <w:sz w:val="26"/>
          <w:szCs w:val="26"/>
        </w:rPr>
        <w:t>, Nhà xuất bản Thống kê</w:t>
      </w:r>
    </w:p>
    <w:p w14:paraId="723884E2" w14:textId="65E7447D" w:rsidR="0028295F" w:rsidRPr="0028295F" w:rsidRDefault="0028295F" w:rsidP="0028295F">
      <w:pPr>
        <w:pStyle w:val="ListParagraph"/>
        <w:numPr>
          <w:ilvl w:val="0"/>
          <w:numId w:val="3"/>
        </w:numPr>
        <w:spacing w:line="312" w:lineRule="auto"/>
        <w:jc w:val="both"/>
        <w:rPr>
          <w:sz w:val="26"/>
          <w:szCs w:val="26"/>
        </w:rPr>
      </w:pPr>
      <w:r>
        <w:rPr>
          <w:sz w:val="26"/>
          <w:szCs w:val="26"/>
        </w:rPr>
        <w:t xml:space="preserve"> </w:t>
      </w:r>
      <w:r w:rsidRPr="0028295F">
        <w:rPr>
          <w:sz w:val="26"/>
          <w:szCs w:val="26"/>
        </w:rPr>
        <w:t xml:space="preserve"> Bùi Xuân Phong (2006) </w:t>
      </w:r>
      <w:r w:rsidRPr="0028295F">
        <w:rPr>
          <w:i/>
          <w:sz w:val="26"/>
          <w:szCs w:val="26"/>
        </w:rPr>
        <w:t>Quản trị dự án đầu tư</w:t>
      </w:r>
      <w:r w:rsidRPr="0028295F">
        <w:rPr>
          <w:sz w:val="26"/>
          <w:szCs w:val="26"/>
        </w:rPr>
        <w:t>, NXB Bưu chính viễn thông.</w:t>
      </w:r>
    </w:p>
    <w:p w14:paraId="666AFC8B" w14:textId="33EAAA7E" w:rsidR="0028295F" w:rsidRPr="0028295F" w:rsidRDefault="0028295F" w:rsidP="0028295F">
      <w:pPr>
        <w:pStyle w:val="ListParagraph"/>
        <w:numPr>
          <w:ilvl w:val="0"/>
          <w:numId w:val="3"/>
        </w:numPr>
        <w:spacing w:before="60" w:after="60" w:line="288" w:lineRule="auto"/>
        <w:rPr>
          <w:sz w:val="26"/>
          <w:szCs w:val="26"/>
        </w:rPr>
      </w:pPr>
      <w:r w:rsidRPr="0028295F">
        <w:rPr>
          <w:sz w:val="26"/>
          <w:szCs w:val="26"/>
        </w:rPr>
        <w:t>PGS.TS. Vũ Duy Hào - PGS. TS. Đàm Văn Huệ</w:t>
      </w:r>
      <w:r w:rsidRPr="0028295F">
        <w:rPr>
          <w:sz w:val="26"/>
          <w:szCs w:val="26"/>
        </w:rPr>
        <w:t xml:space="preserve"> </w:t>
      </w:r>
      <w:r>
        <w:rPr>
          <w:sz w:val="26"/>
          <w:szCs w:val="26"/>
        </w:rPr>
        <w:t xml:space="preserve">, </w:t>
      </w:r>
      <w:r w:rsidRPr="0028295F">
        <w:rPr>
          <w:i/>
          <w:sz w:val="26"/>
          <w:szCs w:val="26"/>
        </w:rPr>
        <w:t>Quản trị tài chính doanh nghiệp</w:t>
      </w:r>
      <w:r>
        <w:rPr>
          <w:sz w:val="26"/>
          <w:szCs w:val="26"/>
        </w:rPr>
        <w:t xml:space="preserve"> ,T</w:t>
      </w:r>
      <w:r w:rsidRPr="0028295F">
        <w:rPr>
          <w:sz w:val="26"/>
          <w:szCs w:val="26"/>
        </w:rPr>
        <w:t>rường ĐH KINH TẾ QUỐC DÂN</w:t>
      </w:r>
    </w:p>
    <w:p w14:paraId="683578DF" w14:textId="77777777" w:rsidR="0028295F" w:rsidRPr="0028295F" w:rsidRDefault="0028295F" w:rsidP="0028295F">
      <w:pPr>
        <w:ind w:left="360"/>
        <w:jc w:val="both"/>
        <w:rPr>
          <w:sz w:val="26"/>
          <w:szCs w:val="26"/>
        </w:rPr>
      </w:pPr>
      <w:bookmarkStart w:id="0" w:name="_GoBack"/>
      <w:bookmarkEnd w:id="0"/>
    </w:p>
    <w:sectPr w:rsidR="0028295F" w:rsidRPr="00282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500"/>
    <w:multiLevelType w:val="hybridMultilevel"/>
    <w:tmpl w:val="24448B2C"/>
    <w:lvl w:ilvl="0" w:tplc="CAC6B4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F3E95"/>
    <w:multiLevelType w:val="hybridMultilevel"/>
    <w:tmpl w:val="3880D5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667CD7"/>
    <w:multiLevelType w:val="hybridMultilevel"/>
    <w:tmpl w:val="06789C9A"/>
    <w:lvl w:ilvl="0" w:tplc="C35E8C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0B2B21"/>
    <w:multiLevelType w:val="hybridMultilevel"/>
    <w:tmpl w:val="2CB4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010BA"/>
    <w:multiLevelType w:val="hybridMultilevel"/>
    <w:tmpl w:val="A1082110"/>
    <w:lvl w:ilvl="0" w:tplc="A31272EE">
      <w:start w:val="1"/>
      <w:numFmt w:val="bullet"/>
      <w:lvlText w:val="•"/>
      <w:lvlJc w:val="left"/>
      <w:pPr>
        <w:tabs>
          <w:tab w:val="num" w:pos="720"/>
        </w:tabs>
        <w:ind w:left="720" w:hanging="360"/>
      </w:pPr>
      <w:rPr>
        <w:rFonts w:ascii="Times New Roman" w:hAnsi="Times New Roman" w:hint="default"/>
      </w:rPr>
    </w:lvl>
    <w:lvl w:ilvl="1" w:tplc="9CAAB65E" w:tentative="1">
      <w:start w:val="1"/>
      <w:numFmt w:val="bullet"/>
      <w:lvlText w:val="•"/>
      <w:lvlJc w:val="left"/>
      <w:pPr>
        <w:tabs>
          <w:tab w:val="num" w:pos="1440"/>
        </w:tabs>
        <w:ind w:left="1440" w:hanging="360"/>
      </w:pPr>
      <w:rPr>
        <w:rFonts w:ascii="Times New Roman" w:hAnsi="Times New Roman" w:hint="default"/>
      </w:rPr>
    </w:lvl>
    <w:lvl w:ilvl="2" w:tplc="B46E78E6" w:tentative="1">
      <w:start w:val="1"/>
      <w:numFmt w:val="bullet"/>
      <w:lvlText w:val="•"/>
      <w:lvlJc w:val="left"/>
      <w:pPr>
        <w:tabs>
          <w:tab w:val="num" w:pos="2160"/>
        </w:tabs>
        <w:ind w:left="2160" w:hanging="360"/>
      </w:pPr>
      <w:rPr>
        <w:rFonts w:ascii="Times New Roman" w:hAnsi="Times New Roman" w:hint="default"/>
      </w:rPr>
    </w:lvl>
    <w:lvl w:ilvl="3" w:tplc="7A8231E8" w:tentative="1">
      <w:start w:val="1"/>
      <w:numFmt w:val="bullet"/>
      <w:lvlText w:val="•"/>
      <w:lvlJc w:val="left"/>
      <w:pPr>
        <w:tabs>
          <w:tab w:val="num" w:pos="2880"/>
        </w:tabs>
        <w:ind w:left="2880" w:hanging="360"/>
      </w:pPr>
      <w:rPr>
        <w:rFonts w:ascii="Times New Roman" w:hAnsi="Times New Roman" w:hint="default"/>
      </w:rPr>
    </w:lvl>
    <w:lvl w:ilvl="4" w:tplc="F4005E70" w:tentative="1">
      <w:start w:val="1"/>
      <w:numFmt w:val="bullet"/>
      <w:lvlText w:val="•"/>
      <w:lvlJc w:val="left"/>
      <w:pPr>
        <w:tabs>
          <w:tab w:val="num" w:pos="3600"/>
        </w:tabs>
        <w:ind w:left="3600" w:hanging="360"/>
      </w:pPr>
      <w:rPr>
        <w:rFonts w:ascii="Times New Roman" w:hAnsi="Times New Roman" w:hint="default"/>
      </w:rPr>
    </w:lvl>
    <w:lvl w:ilvl="5" w:tplc="52F0529A" w:tentative="1">
      <w:start w:val="1"/>
      <w:numFmt w:val="bullet"/>
      <w:lvlText w:val="•"/>
      <w:lvlJc w:val="left"/>
      <w:pPr>
        <w:tabs>
          <w:tab w:val="num" w:pos="4320"/>
        </w:tabs>
        <w:ind w:left="4320" w:hanging="360"/>
      </w:pPr>
      <w:rPr>
        <w:rFonts w:ascii="Times New Roman" w:hAnsi="Times New Roman" w:hint="default"/>
      </w:rPr>
    </w:lvl>
    <w:lvl w:ilvl="6" w:tplc="5596E474" w:tentative="1">
      <w:start w:val="1"/>
      <w:numFmt w:val="bullet"/>
      <w:lvlText w:val="•"/>
      <w:lvlJc w:val="left"/>
      <w:pPr>
        <w:tabs>
          <w:tab w:val="num" w:pos="5040"/>
        </w:tabs>
        <w:ind w:left="5040" w:hanging="360"/>
      </w:pPr>
      <w:rPr>
        <w:rFonts w:ascii="Times New Roman" w:hAnsi="Times New Roman" w:hint="default"/>
      </w:rPr>
    </w:lvl>
    <w:lvl w:ilvl="7" w:tplc="FC02895E" w:tentative="1">
      <w:start w:val="1"/>
      <w:numFmt w:val="bullet"/>
      <w:lvlText w:val="•"/>
      <w:lvlJc w:val="left"/>
      <w:pPr>
        <w:tabs>
          <w:tab w:val="num" w:pos="5760"/>
        </w:tabs>
        <w:ind w:left="5760" w:hanging="360"/>
      </w:pPr>
      <w:rPr>
        <w:rFonts w:ascii="Times New Roman" w:hAnsi="Times New Roman" w:hint="default"/>
      </w:rPr>
    </w:lvl>
    <w:lvl w:ilvl="8" w:tplc="781AF1E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C2108B"/>
    <w:multiLevelType w:val="hybridMultilevel"/>
    <w:tmpl w:val="170A45CE"/>
    <w:lvl w:ilvl="0" w:tplc="D062BDAC">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36A80"/>
    <w:multiLevelType w:val="hybridMultilevel"/>
    <w:tmpl w:val="0A8E428E"/>
    <w:lvl w:ilvl="0" w:tplc="6ED66B0C">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3107F"/>
    <w:multiLevelType w:val="hybridMultilevel"/>
    <w:tmpl w:val="324C1BFA"/>
    <w:lvl w:ilvl="0" w:tplc="963C12E4">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474CE0"/>
    <w:multiLevelType w:val="multilevel"/>
    <w:tmpl w:val="972E68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47B373EF"/>
    <w:multiLevelType w:val="hybridMultilevel"/>
    <w:tmpl w:val="5364ADC0"/>
    <w:lvl w:ilvl="0" w:tplc="04ACA6AA">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E87F24"/>
    <w:multiLevelType w:val="hybridMultilevel"/>
    <w:tmpl w:val="B84CC19C"/>
    <w:lvl w:ilvl="0" w:tplc="2D8CDFD4">
      <w:start w:val="1"/>
      <w:numFmt w:val="bullet"/>
      <w:lvlText w:val="•"/>
      <w:lvlJc w:val="left"/>
      <w:pPr>
        <w:tabs>
          <w:tab w:val="num" w:pos="720"/>
        </w:tabs>
        <w:ind w:left="720" w:hanging="360"/>
      </w:pPr>
      <w:rPr>
        <w:rFonts w:ascii="Times New Roman" w:hAnsi="Times New Roman" w:hint="default"/>
      </w:rPr>
    </w:lvl>
    <w:lvl w:ilvl="1" w:tplc="5B7E67EA" w:tentative="1">
      <w:start w:val="1"/>
      <w:numFmt w:val="bullet"/>
      <w:lvlText w:val="•"/>
      <w:lvlJc w:val="left"/>
      <w:pPr>
        <w:tabs>
          <w:tab w:val="num" w:pos="1440"/>
        </w:tabs>
        <w:ind w:left="1440" w:hanging="360"/>
      </w:pPr>
      <w:rPr>
        <w:rFonts w:ascii="Times New Roman" w:hAnsi="Times New Roman" w:hint="default"/>
      </w:rPr>
    </w:lvl>
    <w:lvl w:ilvl="2" w:tplc="D2FE008A" w:tentative="1">
      <w:start w:val="1"/>
      <w:numFmt w:val="bullet"/>
      <w:lvlText w:val="•"/>
      <w:lvlJc w:val="left"/>
      <w:pPr>
        <w:tabs>
          <w:tab w:val="num" w:pos="2160"/>
        </w:tabs>
        <w:ind w:left="2160" w:hanging="360"/>
      </w:pPr>
      <w:rPr>
        <w:rFonts w:ascii="Times New Roman" w:hAnsi="Times New Roman" w:hint="default"/>
      </w:rPr>
    </w:lvl>
    <w:lvl w:ilvl="3" w:tplc="0A9EC95C" w:tentative="1">
      <w:start w:val="1"/>
      <w:numFmt w:val="bullet"/>
      <w:lvlText w:val="•"/>
      <w:lvlJc w:val="left"/>
      <w:pPr>
        <w:tabs>
          <w:tab w:val="num" w:pos="2880"/>
        </w:tabs>
        <w:ind w:left="2880" w:hanging="360"/>
      </w:pPr>
      <w:rPr>
        <w:rFonts w:ascii="Times New Roman" w:hAnsi="Times New Roman" w:hint="default"/>
      </w:rPr>
    </w:lvl>
    <w:lvl w:ilvl="4" w:tplc="5C768652" w:tentative="1">
      <w:start w:val="1"/>
      <w:numFmt w:val="bullet"/>
      <w:lvlText w:val="•"/>
      <w:lvlJc w:val="left"/>
      <w:pPr>
        <w:tabs>
          <w:tab w:val="num" w:pos="3600"/>
        </w:tabs>
        <w:ind w:left="3600" w:hanging="360"/>
      </w:pPr>
      <w:rPr>
        <w:rFonts w:ascii="Times New Roman" w:hAnsi="Times New Roman" w:hint="default"/>
      </w:rPr>
    </w:lvl>
    <w:lvl w:ilvl="5" w:tplc="633E9B58" w:tentative="1">
      <w:start w:val="1"/>
      <w:numFmt w:val="bullet"/>
      <w:lvlText w:val="•"/>
      <w:lvlJc w:val="left"/>
      <w:pPr>
        <w:tabs>
          <w:tab w:val="num" w:pos="4320"/>
        </w:tabs>
        <w:ind w:left="4320" w:hanging="360"/>
      </w:pPr>
      <w:rPr>
        <w:rFonts w:ascii="Times New Roman" w:hAnsi="Times New Roman" w:hint="default"/>
      </w:rPr>
    </w:lvl>
    <w:lvl w:ilvl="6" w:tplc="00D07766" w:tentative="1">
      <w:start w:val="1"/>
      <w:numFmt w:val="bullet"/>
      <w:lvlText w:val="•"/>
      <w:lvlJc w:val="left"/>
      <w:pPr>
        <w:tabs>
          <w:tab w:val="num" w:pos="5040"/>
        </w:tabs>
        <w:ind w:left="5040" w:hanging="360"/>
      </w:pPr>
      <w:rPr>
        <w:rFonts w:ascii="Times New Roman" w:hAnsi="Times New Roman" w:hint="default"/>
      </w:rPr>
    </w:lvl>
    <w:lvl w:ilvl="7" w:tplc="21AAF4FE" w:tentative="1">
      <w:start w:val="1"/>
      <w:numFmt w:val="bullet"/>
      <w:lvlText w:val="•"/>
      <w:lvlJc w:val="left"/>
      <w:pPr>
        <w:tabs>
          <w:tab w:val="num" w:pos="5760"/>
        </w:tabs>
        <w:ind w:left="5760" w:hanging="360"/>
      </w:pPr>
      <w:rPr>
        <w:rFonts w:ascii="Times New Roman" w:hAnsi="Times New Roman" w:hint="default"/>
      </w:rPr>
    </w:lvl>
    <w:lvl w:ilvl="8" w:tplc="771879A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9671FAF"/>
    <w:multiLevelType w:val="hybridMultilevel"/>
    <w:tmpl w:val="79C27E8E"/>
    <w:lvl w:ilvl="0" w:tplc="3032718C">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857865"/>
    <w:multiLevelType w:val="hybridMultilevel"/>
    <w:tmpl w:val="1FA67DEA"/>
    <w:lvl w:ilvl="0" w:tplc="0D829EEC">
      <w:start w:val="1"/>
      <w:numFmt w:val="bullet"/>
      <w:lvlText w:val="•"/>
      <w:lvlJc w:val="left"/>
      <w:pPr>
        <w:tabs>
          <w:tab w:val="num" w:pos="720"/>
        </w:tabs>
        <w:ind w:left="720" w:hanging="360"/>
      </w:pPr>
      <w:rPr>
        <w:rFonts w:ascii="Times New Roman" w:hAnsi="Times New Roman" w:hint="default"/>
      </w:rPr>
    </w:lvl>
    <w:lvl w:ilvl="1" w:tplc="6F42BF3A" w:tentative="1">
      <w:start w:val="1"/>
      <w:numFmt w:val="bullet"/>
      <w:lvlText w:val="•"/>
      <w:lvlJc w:val="left"/>
      <w:pPr>
        <w:tabs>
          <w:tab w:val="num" w:pos="1440"/>
        </w:tabs>
        <w:ind w:left="1440" w:hanging="360"/>
      </w:pPr>
      <w:rPr>
        <w:rFonts w:ascii="Times New Roman" w:hAnsi="Times New Roman" w:hint="default"/>
      </w:rPr>
    </w:lvl>
    <w:lvl w:ilvl="2" w:tplc="A4B65BCE" w:tentative="1">
      <w:start w:val="1"/>
      <w:numFmt w:val="bullet"/>
      <w:lvlText w:val="•"/>
      <w:lvlJc w:val="left"/>
      <w:pPr>
        <w:tabs>
          <w:tab w:val="num" w:pos="2160"/>
        </w:tabs>
        <w:ind w:left="2160" w:hanging="360"/>
      </w:pPr>
      <w:rPr>
        <w:rFonts w:ascii="Times New Roman" w:hAnsi="Times New Roman" w:hint="default"/>
      </w:rPr>
    </w:lvl>
    <w:lvl w:ilvl="3" w:tplc="821E6144" w:tentative="1">
      <w:start w:val="1"/>
      <w:numFmt w:val="bullet"/>
      <w:lvlText w:val="•"/>
      <w:lvlJc w:val="left"/>
      <w:pPr>
        <w:tabs>
          <w:tab w:val="num" w:pos="2880"/>
        </w:tabs>
        <w:ind w:left="2880" w:hanging="360"/>
      </w:pPr>
      <w:rPr>
        <w:rFonts w:ascii="Times New Roman" w:hAnsi="Times New Roman" w:hint="default"/>
      </w:rPr>
    </w:lvl>
    <w:lvl w:ilvl="4" w:tplc="E0B2BC66" w:tentative="1">
      <w:start w:val="1"/>
      <w:numFmt w:val="bullet"/>
      <w:lvlText w:val="•"/>
      <w:lvlJc w:val="left"/>
      <w:pPr>
        <w:tabs>
          <w:tab w:val="num" w:pos="3600"/>
        </w:tabs>
        <w:ind w:left="3600" w:hanging="360"/>
      </w:pPr>
      <w:rPr>
        <w:rFonts w:ascii="Times New Roman" w:hAnsi="Times New Roman" w:hint="default"/>
      </w:rPr>
    </w:lvl>
    <w:lvl w:ilvl="5" w:tplc="0BEA76D8" w:tentative="1">
      <w:start w:val="1"/>
      <w:numFmt w:val="bullet"/>
      <w:lvlText w:val="•"/>
      <w:lvlJc w:val="left"/>
      <w:pPr>
        <w:tabs>
          <w:tab w:val="num" w:pos="4320"/>
        </w:tabs>
        <w:ind w:left="4320" w:hanging="360"/>
      </w:pPr>
      <w:rPr>
        <w:rFonts w:ascii="Times New Roman" w:hAnsi="Times New Roman" w:hint="default"/>
      </w:rPr>
    </w:lvl>
    <w:lvl w:ilvl="6" w:tplc="AB7079D4" w:tentative="1">
      <w:start w:val="1"/>
      <w:numFmt w:val="bullet"/>
      <w:lvlText w:val="•"/>
      <w:lvlJc w:val="left"/>
      <w:pPr>
        <w:tabs>
          <w:tab w:val="num" w:pos="5040"/>
        </w:tabs>
        <w:ind w:left="5040" w:hanging="360"/>
      </w:pPr>
      <w:rPr>
        <w:rFonts w:ascii="Times New Roman" w:hAnsi="Times New Roman" w:hint="default"/>
      </w:rPr>
    </w:lvl>
    <w:lvl w:ilvl="7" w:tplc="2B606DFA" w:tentative="1">
      <w:start w:val="1"/>
      <w:numFmt w:val="bullet"/>
      <w:lvlText w:val="•"/>
      <w:lvlJc w:val="left"/>
      <w:pPr>
        <w:tabs>
          <w:tab w:val="num" w:pos="5760"/>
        </w:tabs>
        <w:ind w:left="5760" w:hanging="360"/>
      </w:pPr>
      <w:rPr>
        <w:rFonts w:ascii="Times New Roman" w:hAnsi="Times New Roman" w:hint="default"/>
      </w:rPr>
    </w:lvl>
    <w:lvl w:ilvl="8" w:tplc="A3C8DC6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DA0357E"/>
    <w:multiLevelType w:val="hybridMultilevel"/>
    <w:tmpl w:val="65C00562"/>
    <w:lvl w:ilvl="0" w:tplc="E0DCD510">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5C37EE"/>
    <w:multiLevelType w:val="hybridMultilevel"/>
    <w:tmpl w:val="B2226E52"/>
    <w:lvl w:ilvl="0" w:tplc="B776B9D4">
      <w:start w:val="1"/>
      <w:numFmt w:val="bullet"/>
      <w:lvlText w:val="•"/>
      <w:lvlJc w:val="left"/>
      <w:pPr>
        <w:tabs>
          <w:tab w:val="num" w:pos="720"/>
        </w:tabs>
        <w:ind w:left="720" w:hanging="360"/>
      </w:pPr>
      <w:rPr>
        <w:rFonts w:ascii="Times New Roman" w:hAnsi="Times New Roman" w:hint="default"/>
      </w:rPr>
    </w:lvl>
    <w:lvl w:ilvl="1" w:tplc="A7FE5C3E" w:tentative="1">
      <w:start w:val="1"/>
      <w:numFmt w:val="bullet"/>
      <w:lvlText w:val="•"/>
      <w:lvlJc w:val="left"/>
      <w:pPr>
        <w:tabs>
          <w:tab w:val="num" w:pos="1440"/>
        </w:tabs>
        <w:ind w:left="1440" w:hanging="360"/>
      </w:pPr>
      <w:rPr>
        <w:rFonts w:ascii="Times New Roman" w:hAnsi="Times New Roman" w:hint="default"/>
      </w:rPr>
    </w:lvl>
    <w:lvl w:ilvl="2" w:tplc="15CC8990" w:tentative="1">
      <w:start w:val="1"/>
      <w:numFmt w:val="bullet"/>
      <w:lvlText w:val="•"/>
      <w:lvlJc w:val="left"/>
      <w:pPr>
        <w:tabs>
          <w:tab w:val="num" w:pos="2160"/>
        </w:tabs>
        <w:ind w:left="2160" w:hanging="360"/>
      </w:pPr>
      <w:rPr>
        <w:rFonts w:ascii="Times New Roman" w:hAnsi="Times New Roman" w:hint="default"/>
      </w:rPr>
    </w:lvl>
    <w:lvl w:ilvl="3" w:tplc="C07C0116" w:tentative="1">
      <w:start w:val="1"/>
      <w:numFmt w:val="bullet"/>
      <w:lvlText w:val="•"/>
      <w:lvlJc w:val="left"/>
      <w:pPr>
        <w:tabs>
          <w:tab w:val="num" w:pos="2880"/>
        </w:tabs>
        <w:ind w:left="2880" w:hanging="360"/>
      </w:pPr>
      <w:rPr>
        <w:rFonts w:ascii="Times New Roman" w:hAnsi="Times New Roman" w:hint="default"/>
      </w:rPr>
    </w:lvl>
    <w:lvl w:ilvl="4" w:tplc="042A0ABC" w:tentative="1">
      <w:start w:val="1"/>
      <w:numFmt w:val="bullet"/>
      <w:lvlText w:val="•"/>
      <w:lvlJc w:val="left"/>
      <w:pPr>
        <w:tabs>
          <w:tab w:val="num" w:pos="3600"/>
        </w:tabs>
        <w:ind w:left="3600" w:hanging="360"/>
      </w:pPr>
      <w:rPr>
        <w:rFonts w:ascii="Times New Roman" w:hAnsi="Times New Roman" w:hint="default"/>
      </w:rPr>
    </w:lvl>
    <w:lvl w:ilvl="5" w:tplc="2D6254C4" w:tentative="1">
      <w:start w:val="1"/>
      <w:numFmt w:val="bullet"/>
      <w:lvlText w:val="•"/>
      <w:lvlJc w:val="left"/>
      <w:pPr>
        <w:tabs>
          <w:tab w:val="num" w:pos="4320"/>
        </w:tabs>
        <w:ind w:left="4320" w:hanging="360"/>
      </w:pPr>
      <w:rPr>
        <w:rFonts w:ascii="Times New Roman" w:hAnsi="Times New Roman" w:hint="default"/>
      </w:rPr>
    </w:lvl>
    <w:lvl w:ilvl="6" w:tplc="5434AB44" w:tentative="1">
      <w:start w:val="1"/>
      <w:numFmt w:val="bullet"/>
      <w:lvlText w:val="•"/>
      <w:lvlJc w:val="left"/>
      <w:pPr>
        <w:tabs>
          <w:tab w:val="num" w:pos="5040"/>
        </w:tabs>
        <w:ind w:left="5040" w:hanging="360"/>
      </w:pPr>
      <w:rPr>
        <w:rFonts w:ascii="Times New Roman" w:hAnsi="Times New Roman" w:hint="default"/>
      </w:rPr>
    </w:lvl>
    <w:lvl w:ilvl="7" w:tplc="D0749436" w:tentative="1">
      <w:start w:val="1"/>
      <w:numFmt w:val="bullet"/>
      <w:lvlText w:val="•"/>
      <w:lvlJc w:val="left"/>
      <w:pPr>
        <w:tabs>
          <w:tab w:val="num" w:pos="5760"/>
        </w:tabs>
        <w:ind w:left="5760" w:hanging="360"/>
      </w:pPr>
      <w:rPr>
        <w:rFonts w:ascii="Times New Roman" w:hAnsi="Times New Roman" w:hint="default"/>
      </w:rPr>
    </w:lvl>
    <w:lvl w:ilvl="8" w:tplc="88882A74"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0"/>
  </w:num>
  <w:num w:numId="3">
    <w:abstractNumId w:val="3"/>
  </w:num>
  <w:num w:numId="4">
    <w:abstractNumId w:val="12"/>
  </w:num>
  <w:num w:numId="5">
    <w:abstractNumId w:val="10"/>
  </w:num>
  <w:num w:numId="6">
    <w:abstractNumId w:val="14"/>
  </w:num>
  <w:num w:numId="7">
    <w:abstractNumId w:val="2"/>
  </w:num>
  <w:num w:numId="8">
    <w:abstractNumId w:val="4"/>
  </w:num>
  <w:num w:numId="9">
    <w:abstractNumId w:val="6"/>
  </w:num>
  <w:num w:numId="10">
    <w:abstractNumId w:val="11"/>
  </w:num>
  <w:num w:numId="11">
    <w:abstractNumId w:val="13"/>
  </w:num>
  <w:num w:numId="12">
    <w:abstractNumId w:val="7"/>
  </w:num>
  <w:num w:numId="13">
    <w:abstractNumId w:val="1"/>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F6"/>
    <w:rsid w:val="00045A69"/>
    <w:rsid w:val="00061F13"/>
    <w:rsid w:val="00077200"/>
    <w:rsid w:val="000A0651"/>
    <w:rsid w:val="000E4CC2"/>
    <w:rsid w:val="000F0F88"/>
    <w:rsid w:val="001F7D26"/>
    <w:rsid w:val="00231EE6"/>
    <w:rsid w:val="00275035"/>
    <w:rsid w:val="0028295F"/>
    <w:rsid w:val="00304839"/>
    <w:rsid w:val="003906EB"/>
    <w:rsid w:val="004E5B47"/>
    <w:rsid w:val="005F0827"/>
    <w:rsid w:val="00697BC7"/>
    <w:rsid w:val="008449D3"/>
    <w:rsid w:val="00844A27"/>
    <w:rsid w:val="008F6652"/>
    <w:rsid w:val="00906CC1"/>
    <w:rsid w:val="00936787"/>
    <w:rsid w:val="00A25075"/>
    <w:rsid w:val="00A30A67"/>
    <w:rsid w:val="00AD43B3"/>
    <w:rsid w:val="00BE251D"/>
    <w:rsid w:val="00C06465"/>
    <w:rsid w:val="00CA439F"/>
    <w:rsid w:val="00CA43F4"/>
    <w:rsid w:val="00CA7D94"/>
    <w:rsid w:val="00CB2F83"/>
    <w:rsid w:val="00DB15F6"/>
    <w:rsid w:val="00DB4E99"/>
    <w:rsid w:val="00E02C50"/>
    <w:rsid w:val="00F648E5"/>
    <w:rsid w:val="00FA6242"/>
    <w:rsid w:val="00FC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15F6"/>
    <w:pPr>
      <w:ind w:left="720"/>
      <w:contextualSpacing/>
    </w:pPr>
  </w:style>
  <w:style w:type="character" w:styleId="Strong">
    <w:name w:val="Strong"/>
    <w:basedOn w:val="DefaultParagraphFont"/>
    <w:qFormat/>
    <w:rsid w:val="00275035"/>
    <w:rPr>
      <w:b/>
      <w:bCs/>
    </w:rPr>
  </w:style>
  <w:style w:type="character" w:customStyle="1" w:styleId="apple-converted-space">
    <w:name w:val="apple-converted-space"/>
    <w:basedOn w:val="DefaultParagraphFont"/>
    <w:rsid w:val="00CB2F83"/>
  </w:style>
  <w:style w:type="paragraph" w:styleId="BalloonText">
    <w:name w:val="Balloon Text"/>
    <w:basedOn w:val="Normal"/>
    <w:link w:val="BalloonTextChar"/>
    <w:uiPriority w:val="99"/>
    <w:semiHidden/>
    <w:unhideWhenUsed/>
    <w:rsid w:val="00CB2F83"/>
    <w:rPr>
      <w:rFonts w:ascii="Tahoma" w:hAnsi="Tahoma" w:cs="Tahoma"/>
      <w:sz w:val="16"/>
      <w:szCs w:val="16"/>
    </w:rPr>
  </w:style>
  <w:style w:type="character" w:customStyle="1" w:styleId="BalloonTextChar">
    <w:name w:val="Balloon Text Char"/>
    <w:basedOn w:val="DefaultParagraphFont"/>
    <w:link w:val="BalloonText"/>
    <w:uiPriority w:val="99"/>
    <w:semiHidden/>
    <w:rsid w:val="00CB2F83"/>
    <w:rPr>
      <w:rFonts w:ascii="Tahoma" w:eastAsia="Times New Roman" w:hAnsi="Tahoma" w:cs="Tahoma"/>
      <w:sz w:val="16"/>
      <w:szCs w:val="16"/>
    </w:rPr>
  </w:style>
  <w:style w:type="character" w:customStyle="1" w:styleId="oi732d6d">
    <w:name w:val="oi732d6d"/>
    <w:basedOn w:val="DefaultParagraphFont"/>
    <w:rsid w:val="00CB2F83"/>
  </w:style>
  <w:style w:type="paragraph" w:styleId="NormalWeb">
    <w:name w:val="Normal (Web)"/>
    <w:basedOn w:val="Normal"/>
    <w:rsid w:val="001F7D26"/>
    <w:pPr>
      <w:spacing w:before="225" w:after="22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15F6"/>
    <w:pPr>
      <w:ind w:left="720"/>
      <w:contextualSpacing/>
    </w:pPr>
  </w:style>
  <w:style w:type="character" w:styleId="Strong">
    <w:name w:val="Strong"/>
    <w:basedOn w:val="DefaultParagraphFont"/>
    <w:qFormat/>
    <w:rsid w:val="00275035"/>
    <w:rPr>
      <w:b/>
      <w:bCs/>
    </w:rPr>
  </w:style>
  <w:style w:type="character" w:customStyle="1" w:styleId="apple-converted-space">
    <w:name w:val="apple-converted-space"/>
    <w:basedOn w:val="DefaultParagraphFont"/>
    <w:rsid w:val="00CB2F83"/>
  </w:style>
  <w:style w:type="paragraph" w:styleId="BalloonText">
    <w:name w:val="Balloon Text"/>
    <w:basedOn w:val="Normal"/>
    <w:link w:val="BalloonTextChar"/>
    <w:uiPriority w:val="99"/>
    <w:semiHidden/>
    <w:unhideWhenUsed/>
    <w:rsid w:val="00CB2F83"/>
    <w:rPr>
      <w:rFonts w:ascii="Tahoma" w:hAnsi="Tahoma" w:cs="Tahoma"/>
      <w:sz w:val="16"/>
      <w:szCs w:val="16"/>
    </w:rPr>
  </w:style>
  <w:style w:type="character" w:customStyle="1" w:styleId="BalloonTextChar">
    <w:name w:val="Balloon Text Char"/>
    <w:basedOn w:val="DefaultParagraphFont"/>
    <w:link w:val="BalloonText"/>
    <w:uiPriority w:val="99"/>
    <w:semiHidden/>
    <w:rsid w:val="00CB2F83"/>
    <w:rPr>
      <w:rFonts w:ascii="Tahoma" w:eastAsia="Times New Roman" w:hAnsi="Tahoma" w:cs="Tahoma"/>
      <w:sz w:val="16"/>
      <w:szCs w:val="16"/>
    </w:rPr>
  </w:style>
  <w:style w:type="character" w:customStyle="1" w:styleId="oi732d6d">
    <w:name w:val="oi732d6d"/>
    <w:basedOn w:val="DefaultParagraphFont"/>
    <w:rsid w:val="00CB2F83"/>
  </w:style>
  <w:style w:type="paragraph" w:styleId="NormalWeb">
    <w:name w:val="Normal (Web)"/>
    <w:basedOn w:val="Normal"/>
    <w:rsid w:val="001F7D26"/>
    <w:pPr>
      <w:spacing w:before="225"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49042">
      <w:bodyDiv w:val="1"/>
      <w:marLeft w:val="0"/>
      <w:marRight w:val="0"/>
      <w:marTop w:val="0"/>
      <w:marBottom w:val="0"/>
      <w:divBdr>
        <w:top w:val="none" w:sz="0" w:space="0" w:color="auto"/>
        <w:left w:val="none" w:sz="0" w:space="0" w:color="auto"/>
        <w:bottom w:val="none" w:sz="0" w:space="0" w:color="auto"/>
        <w:right w:val="none" w:sz="0" w:space="0" w:color="auto"/>
      </w:divBdr>
      <w:divsChild>
        <w:div w:id="1652757873">
          <w:marLeft w:val="0"/>
          <w:marRight w:val="0"/>
          <w:marTop w:val="0"/>
          <w:marBottom w:val="0"/>
          <w:divBdr>
            <w:top w:val="none" w:sz="0" w:space="0" w:color="auto"/>
            <w:left w:val="none" w:sz="0" w:space="0" w:color="auto"/>
            <w:bottom w:val="none" w:sz="0" w:space="0" w:color="auto"/>
            <w:right w:val="none" w:sz="0" w:space="0" w:color="auto"/>
          </w:divBdr>
        </w:div>
        <w:div w:id="660700533">
          <w:marLeft w:val="0"/>
          <w:marRight w:val="0"/>
          <w:marTop w:val="0"/>
          <w:marBottom w:val="0"/>
          <w:divBdr>
            <w:top w:val="none" w:sz="0" w:space="0" w:color="auto"/>
            <w:left w:val="none" w:sz="0" w:space="0" w:color="auto"/>
            <w:bottom w:val="none" w:sz="0" w:space="0" w:color="auto"/>
            <w:right w:val="none" w:sz="0" w:space="0" w:color="auto"/>
          </w:divBdr>
        </w:div>
      </w:divsChild>
    </w:div>
    <w:div w:id="202967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25608-1B6C-426B-833D-F05EC91E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706</Words>
  <Characters>4026</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17</cp:revision>
  <dcterms:created xsi:type="dcterms:W3CDTF">2021-05-15T14:22:00Z</dcterms:created>
  <dcterms:modified xsi:type="dcterms:W3CDTF">2021-05-15T15:04:00Z</dcterms:modified>
</cp:coreProperties>
</file>