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68756" w14:textId="093C40EC" w:rsidR="00011E0E" w:rsidRDefault="00011E0E" w:rsidP="00D70FD6">
      <w:pPr>
        <w:pStyle w:val="NormalWeb"/>
        <w:shd w:val="clear" w:color="auto" w:fill="FFFFFF"/>
        <w:spacing w:before="0" w:beforeAutospacing="0" w:after="0" w:afterAutospacing="0" w:line="312" w:lineRule="auto"/>
        <w:jc w:val="center"/>
        <w:rPr>
          <w:b/>
          <w:bCs/>
          <w:color w:val="000000" w:themeColor="text1"/>
          <w:sz w:val="28"/>
          <w:szCs w:val="28"/>
        </w:rPr>
      </w:pPr>
      <w:bookmarkStart w:id="0" w:name="_GoBack"/>
      <w:bookmarkEnd w:id="0"/>
      <w:r w:rsidRPr="00D70FD6">
        <w:rPr>
          <w:b/>
          <w:bCs/>
          <w:color w:val="000000" w:themeColor="text1"/>
          <w:sz w:val="28"/>
          <w:szCs w:val="28"/>
        </w:rPr>
        <w:t>TÌM HIỂU MỘT SỐ NỘI DUNG VỀ PHÂN TÍCH ĐIỂM HÒA VỐN</w:t>
      </w:r>
    </w:p>
    <w:p w14:paraId="67936331" w14:textId="76724929" w:rsidR="00D70FD6" w:rsidRDefault="00D60697" w:rsidP="00D70FD6">
      <w:pPr>
        <w:pStyle w:val="NormalWeb"/>
        <w:shd w:val="clear" w:color="auto" w:fill="FFFFFF"/>
        <w:spacing w:before="0" w:beforeAutospacing="0" w:after="0" w:afterAutospacing="0" w:line="312" w:lineRule="auto"/>
        <w:jc w:val="center"/>
        <w:rPr>
          <w:b/>
          <w:bCs/>
          <w:color w:val="000000" w:themeColor="text1"/>
          <w:sz w:val="28"/>
          <w:szCs w:val="28"/>
        </w:rPr>
      </w:pPr>
      <w:r>
        <w:rPr>
          <w:b/>
          <w:bCs/>
          <w:color w:val="000000" w:themeColor="text1"/>
          <w:sz w:val="28"/>
          <w:szCs w:val="28"/>
        </w:rPr>
        <w:t xml:space="preserve">                                                                      Nguyễn Thị Hồng Sương</w:t>
      </w:r>
    </w:p>
    <w:p w14:paraId="196DB198" w14:textId="77777777" w:rsidR="004665FF" w:rsidRPr="00D70FD6" w:rsidRDefault="004665FF" w:rsidP="00D70FD6">
      <w:pPr>
        <w:pStyle w:val="NormalWeb"/>
        <w:shd w:val="clear" w:color="auto" w:fill="FFFFFF"/>
        <w:spacing w:before="0" w:beforeAutospacing="0" w:after="0" w:afterAutospacing="0" w:line="312" w:lineRule="auto"/>
        <w:jc w:val="center"/>
        <w:rPr>
          <w:b/>
          <w:bCs/>
          <w:color w:val="000000" w:themeColor="text1"/>
          <w:sz w:val="28"/>
          <w:szCs w:val="28"/>
        </w:rPr>
      </w:pPr>
    </w:p>
    <w:p w14:paraId="5D76AA39" w14:textId="77777777" w:rsidR="00D85964" w:rsidRPr="00AB7A6D" w:rsidRDefault="00011E0E" w:rsidP="00D70FD6">
      <w:pPr>
        <w:pStyle w:val="NormalWeb"/>
        <w:shd w:val="clear" w:color="auto" w:fill="FFFFFF"/>
        <w:spacing w:before="0" w:beforeAutospacing="0" w:after="0" w:afterAutospacing="0" w:line="312" w:lineRule="auto"/>
        <w:jc w:val="both"/>
        <w:rPr>
          <w:i/>
          <w:iCs/>
          <w:color w:val="000000" w:themeColor="text1"/>
          <w:sz w:val="26"/>
          <w:szCs w:val="26"/>
        </w:rPr>
      </w:pPr>
      <w:r w:rsidRPr="00AB7A6D">
        <w:rPr>
          <w:i/>
          <w:iCs/>
          <w:color w:val="000000" w:themeColor="text1"/>
          <w:sz w:val="26"/>
          <w:szCs w:val="26"/>
        </w:rPr>
        <w:t xml:space="preserve">          Phân tích điểm hòa vốn là một trong những nội dung cơ bản của kế toán quản trị, là công cụ hữu ích cho các nhà quản trị kinh doanh đưa ra quyết định tối ưu. Trong cơ chế thị trường, các doanh nghiệp kinh doanh đa ngành nghề, với cơ cấu sản phẩm, dịch vụ khác nhau nhằm thỏa mãn nhu cầu của thị trường và khai thác tối đa các yếu tố của quá trình sản xuất. Do vậy khi đưa ra các quyết định về sản xuất, tiêu thụ trong môi trường cạnh tranh, các nhà quản trị thường dựa vào công cụ phân tích điểm hòa vốn.</w:t>
      </w:r>
    </w:p>
    <w:p w14:paraId="721FA571" w14:textId="1D17E589" w:rsidR="0061083F" w:rsidRPr="00D70FD6" w:rsidRDefault="00D70FD6" w:rsidP="00D70FD6">
      <w:pPr>
        <w:shd w:val="clear" w:color="auto" w:fill="FFFFFF"/>
        <w:spacing w:after="0" w:line="312" w:lineRule="auto"/>
        <w:jc w:val="both"/>
        <w:outlineLvl w:val="1"/>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1.</w:t>
      </w:r>
      <w:r w:rsidR="00E51909">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Khái niệm đ</w:t>
      </w:r>
      <w:r w:rsidR="00D85964" w:rsidRPr="00D70FD6">
        <w:rPr>
          <w:rFonts w:ascii="Times New Roman" w:eastAsia="Times New Roman" w:hAnsi="Times New Roman" w:cs="Times New Roman"/>
          <w:b/>
          <w:bCs/>
          <w:color w:val="000000" w:themeColor="text1"/>
          <w:sz w:val="26"/>
          <w:szCs w:val="26"/>
        </w:rPr>
        <w:t>iểm hòa vốn</w:t>
      </w:r>
    </w:p>
    <w:p w14:paraId="2774321F" w14:textId="23FB1349" w:rsidR="0061083F" w:rsidRPr="00D70FD6" w:rsidRDefault="0061083F" w:rsidP="00D70FD6">
      <w:pPr>
        <w:shd w:val="clear" w:color="auto" w:fill="FFFFFF"/>
        <w:spacing w:after="0" w:line="312" w:lineRule="auto"/>
        <w:jc w:val="both"/>
        <w:outlineLvl w:val="1"/>
        <w:rPr>
          <w:rFonts w:ascii="Times New Roman" w:eastAsia="Times New Roman" w:hAnsi="Times New Roman" w:cs="Times New Roman"/>
          <w:b/>
          <w:bCs/>
          <w:color w:val="000000" w:themeColor="text1"/>
          <w:sz w:val="26"/>
          <w:szCs w:val="26"/>
        </w:rPr>
      </w:pPr>
      <w:r w:rsidRPr="00D70FD6">
        <w:rPr>
          <w:rFonts w:ascii="Times New Roman" w:hAnsi="Times New Roman" w:cs="Times New Roman"/>
          <w:color w:val="000000" w:themeColor="text1"/>
          <w:sz w:val="26"/>
          <w:szCs w:val="26"/>
          <w:shd w:val="clear" w:color="auto" w:fill="FFFFFF"/>
        </w:rPr>
        <w:t>Có nhiều khái niệm khác nhau về điểm hòa vốn, tùy theo từng các tiếp cận:</w:t>
      </w:r>
    </w:p>
    <w:p w14:paraId="63F75993" w14:textId="771C6CD2" w:rsidR="00D85964" w:rsidRPr="00ED45A1" w:rsidRDefault="00D85964" w:rsidP="00D70FD6">
      <w:pPr>
        <w:pStyle w:val="ListParagraph"/>
        <w:numPr>
          <w:ilvl w:val="0"/>
          <w:numId w:val="4"/>
        </w:numPr>
        <w:shd w:val="clear" w:color="auto" w:fill="FFFFFF"/>
        <w:spacing w:after="0" w:line="312" w:lineRule="auto"/>
        <w:jc w:val="both"/>
        <w:rPr>
          <w:rFonts w:ascii="Times New Roman" w:eastAsia="Times New Roman" w:hAnsi="Times New Roman" w:cs="Times New Roman"/>
          <w:color w:val="000000" w:themeColor="text1"/>
          <w:sz w:val="26"/>
          <w:szCs w:val="26"/>
        </w:rPr>
      </w:pPr>
      <w:r w:rsidRPr="00ED45A1">
        <w:rPr>
          <w:rFonts w:ascii="Times New Roman" w:eastAsia="Times New Roman" w:hAnsi="Times New Roman" w:cs="Times New Roman"/>
          <w:color w:val="000000" w:themeColor="text1"/>
          <w:sz w:val="26"/>
          <w:szCs w:val="26"/>
        </w:rPr>
        <w:t xml:space="preserve">Điểm hòa vốn được hiểu là điểm mà tại đó </w:t>
      </w:r>
      <w:r w:rsidR="00A2446F" w:rsidRPr="00ED45A1">
        <w:rPr>
          <w:rFonts w:ascii="Times New Roman" w:eastAsia="Times New Roman" w:hAnsi="Times New Roman" w:cs="Times New Roman"/>
          <w:color w:val="000000" w:themeColor="text1"/>
          <w:sz w:val="26"/>
          <w:szCs w:val="26"/>
        </w:rPr>
        <w:t xml:space="preserve">tổng </w:t>
      </w:r>
      <w:r w:rsidRPr="00ED45A1">
        <w:rPr>
          <w:rFonts w:ascii="Times New Roman" w:eastAsia="Times New Roman" w:hAnsi="Times New Roman" w:cs="Times New Roman"/>
          <w:color w:val="000000" w:themeColor="text1"/>
          <w:sz w:val="26"/>
          <w:szCs w:val="26"/>
        </w:rPr>
        <w:t>doanh thu</w:t>
      </w:r>
      <w:r w:rsidR="00A2446F" w:rsidRPr="00ED45A1">
        <w:rPr>
          <w:rFonts w:ascii="Times New Roman" w:eastAsia="Times New Roman" w:hAnsi="Times New Roman" w:cs="Times New Roman"/>
          <w:color w:val="000000" w:themeColor="text1"/>
          <w:sz w:val="26"/>
          <w:szCs w:val="26"/>
        </w:rPr>
        <w:t xml:space="preserve"> </w:t>
      </w:r>
      <w:r w:rsidRPr="00ED45A1">
        <w:rPr>
          <w:rFonts w:ascii="Times New Roman" w:eastAsia="Times New Roman" w:hAnsi="Times New Roman" w:cs="Times New Roman"/>
          <w:color w:val="000000" w:themeColor="text1"/>
          <w:sz w:val="26"/>
          <w:szCs w:val="26"/>
        </w:rPr>
        <w:t xml:space="preserve">bằng </w:t>
      </w:r>
      <w:r w:rsidR="00A2446F" w:rsidRPr="00ED45A1">
        <w:rPr>
          <w:rFonts w:ascii="Times New Roman" w:eastAsia="Times New Roman" w:hAnsi="Times New Roman" w:cs="Times New Roman"/>
          <w:color w:val="000000" w:themeColor="text1"/>
          <w:sz w:val="26"/>
          <w:szCs w:val="26"/>
        </w:rPr>
        <w:t>tổng</w:t>
      </w:r>
      <w:r w:rsidRPr="00ED45A1">
        <w:rPr>
          <w:rFonts w:ascii="Times New Roman" w:eastAsia="Times New Roman" w:hAnsi="Times New Roman" w:cs="Times New Roman"/>
          <w:color w:val="000000" w:themeColor="text1"/>
          <w:sz w:val="26"/>
          <w:szCs w:val="26"/>
        </w:rPr>
        <w:t xml:space="preserve"> chi phí đã bỏ ra. </w:t>
      </w:r>
    </w:p>
    <w:p w14:paraId="274AE097" w14:textId="5660DDE4" w:rsidR="00D85964" w:rsidRPr="00ED45A1" w:rsidRDefault="00D85964" w:rsidP="00D70FD6">
      <w:pPr>
        <w:pStyle w:val="ListParagraph"/>
        <w:numPr>
          <w:ilvl w:val="0"/>
          <w:numId w:val="4"/>
        </w:numPr>
        <w:shd w:val="clear" w:color="auto" w:fill="FFFFFF"/>
        <w:spacing w:after="0" w:line="312" w:lineRule="auto"/>
        <w:ind w:right="300"/>
        <w:jc w:val="both"/>
        <w:rPr>
          <w:rFonts w:ascii="Times New Roman" w:eastAsia="Times New Roman" w:hAnsi="Times New Roman" w:cs="Times New Roman"/>
          <w:color w:val="000000" w:themeColor="text1"/>
          <w:sz w:val="26"/>
          <w:szCs w:val="26"/>
        </w:rPr>
      </w:pPr>
      <w:r w:rsidRPr="00ED45A1">
        <w:rPr>
          <w:rFonts w:ascii="Times New Roman" w:eastAsia="Times New Roman" w:hAnsi="Times New Roman" w:cs="Times New Roman"/>
          <w:color w:val="000000" w:themeColor="text1"/>
          <w:sz w:val="26"/>
          <w:szCs w:val="26"/>
        </w:rPr>
        <w:t xml:space="preserve">Điểm mà tại đó tổng </w:t>
      </w:r>
      <w:r w:rsidR="00A2446F" w:rsidRPr="00ED45A1">
        <w:rPr>
          <w:rFonts w:ascii="Times New Roman" w:eastAsia="Times New Roman" w:hAnsi="Times New Roman" w:cs="Times New Roman"/>
          <w:color w:val="000000" w:themeColor="text1"/>
          <w:sz w:val="26"/>
          <w:szCs w:val="26"/>
        </w:rPr>
        <w:t>số dư đảm phí</w:t>
      </w:r>
      <w:r w:rsidRPr="00ED45A1">
        <w:rPr>
          <w:rFonts w:ascii="Times New Roman" w:eastAsia="Times New Roman" w:hAnsi="Times New Roman" w:cs="Times New Roman"/>
          <w:color w:val="000000" w:themeColor="text1"/>
          <w:sz w:val="26"/>
          <w:szCs w:val="26"/>
        </w:rPr>
        <w:t xml:space="preserve"> vừa đủ để bù đắp cho tổng định phí.</w:t>
      </w:r>
    </w:p>
    <w:p w14:paraId="7E96CFE7" w14:textId="01D686FB" w:rsidR="00D85964" w:rsidRPr="00ED45A1" w:rsidRDefault="00D85964" w:rsidP="00D70FD6">
      <w:pPr>
        <w:pStyle w:val="ListParagraph"/>
        <w:numPr>
          <w:ilvl w:val="0"/>
          <w:numId w:val="4"/>
        </w:numPr>
        <w:shd w:val="clear" w:color="auto" w:fill="FFFFFF"/>
        <w:spacing w:after="0" w:line="312" w:lineRule="auto"/>
        <w:ind w:right="300"/>
        <w:jc w:val="both"/>
        <w:rPr>
          <w:rFonts w:ascii="Times New Roman" w:eastAsia="Times New Roman" w:hAnsi="Times New Roman" w:cs="Times New Roman"/>
          <w:color w:val="000000" w:themeColor="text1"/>
          <w:sz w:val="26"/>
          <w:szCs w:val="26"/>
        </w:rPr>
      </w:pPr>
      <w:r w:rsidRPr="00ED45A1">
        <w:rPr>
          <w:rFonts w:ascii="Times New Roman" w:eastAsia="Times New Roman" w:hAnsi="Times New Roman" w:cs="Times New Roman"/>
          <w:color w:val="000000" w:themeColor="text1"/>
          <w:sz w:val="26"/>
          <w:szCs w:val="26"/>
        </w:rPr>
        <w:t xml:space="preserve">Thời điểm mà doanh nghiệp không lãi cũng không lỗ, tất cả lợi nhuận </w:t>
      </w:r>
      <w:r w:rsidR="00A2446F" w:rsidRPr="00ED45A1">
        <w:rPr>
          <w:rFonts w:ascii="Times New Roman" w:eastAsia="Times New Roman" w:hAnsi="Times New Roman" w:cs="Times New Roman"/>
          <w:color w:val="000000" w:themeColor="text1"/>
          <w:sz w:val="26"/>
          <w:szCs w:val="26"/>
        </w:rPr>
        <w:t xml:space="preserve">trước thuế </w:t>
      </w:r>
      <w:r w:rsidRPr="00ED45A1">
        <w:rPr>
          <w:rFonts w:ascii="Times New Roman" w:eastAsia="Times New Roman" w:hAnsi="Times New Roman" w:cs="Times New Roman"/>
          <w:color w:val="000000" w:themeColor="text1"/>
          <w:sz w:val="26"/>
          <w:szCs w:val="26"/>
        </w:rPr>
        <w:t>đều bằng 0.</w:t>
      </w:r>
    </w:p>
    <w:p w14:paraId="1FED09D0" w14:textId="77777777" w:rsidR="001F4747" w:rsidRPr="001F4747" w:rsidRDefault="001F4747" w:rsidP="00D70FD6">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1F4747">
        <w:rPr>
          <w:rFonts w:ascii="Times New Roman" w:eastAsia="Times New Roman" w:hAnsi="Times New Roman" w:cs="Times New Roman"/>
          <w:color w:val="000000" w:themeColor="text1"/>
          <w:sz w:val="26"/>
          <w:szCs w:val="26"/>
        </w:rPr>
        <w:t>Theo bất cứ khái niệm nào thì điểm hóa vốn cũng là một "ngưỡng" quan trọng của các nhà quản trị kể từ khi tiến hành sản xuất. Khi doanh nghiệp qua khỏi "ngưỡng" đó nhà quản trị tự tin trong các quyết định kinh doanh để mau chóng tìm kiếm lợi nhuận trên thương trường.</w:t>
      </w:r>
    </w:p>
    <w:p w14:paraId="639E3EC9" w14:textId="77777777" w:rsidR="001F4747" w:rsidRPr="001F4747" w:rsidRDefault="001F4747" w:rsidP="00D70FD6">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1F4747">
        <w:rPr>
          <w:rFonts w:ascii="Times New Roman" w:eastAsia="Times New Roman" w:hAnsi="Times New Roman" w:cs="Times New Roman"/>
          <w:color w:val="000000" w:themeColor="text1"/>
          <w:sz w:val="26"/>
          <w:szCs w:val="26"/>
        </w:rPr>
        <w:t>Điểm hòa vốn được xác định theo 3 tiêu chí:</w:t>
      </w:r>
    </w:p>
    <w:p w14:paraId="48DB9723" w14:textId="77777777" w:rsidR="001F4747" w:rsidRPr="001F4747" w:rsidRDefault="001F4747" w:rsidP="00D70FD6">
      <w:pPr>
        <w:numPr>
          <w:ilvl w:val="0"/>
          <w:numId w:val="5"/>
        </w:numPr>
        <w:shd w:val="clear" w:color="auto" w:fill="FFFFFF"/>
        <w:spacing w:after="0" w:line="312" w:lineRule="auto"/>
        <w:jc w:val="both"/>
        <w:rPr>
          <w:rFonts w:ascii="Times New Roman" w:eastAsia="Times New Roman" w:hAnsi="Times New Roman" w:cs="Times New Roman"/>
          <w:color w:val="000000" w:themeColor="text1"/>
          <w:sz w:val="26"/>
          <w:szCs w:val="26"/>
        </w:rPr>
      </w:pPr>
      <w:r w:rsidRPr="001F4747">
        <w:rPr>
          <w:rFonts w:ascii="Times New Roman" w:eastAsia="Times New Roman" w:hAnsi="Times New Roman" w:cs="Times New Roman"/>
          <w:color w:val="000000" w:themeColor="text1"/>
          <w:sz w:val="26"/>
          <w:szCs w:val="26"/>
        </w:rPr>
        <w:t>Sản lượng sản phẩm hòa vốn</w:t>
      </w:r>
    </w:p>
    <w:p w14:paraId="2B41E5B2" w14:textId="77777777" w:rsidR="001F4747" w:rsidRPr="001F4747" w:rsidRDefault="001F4747" w:rsidP="00D70FD6">
      <w:pPr>
        <w:numPr>
          <w:ilvl w:val="0"/>
          <w:numId w:val="5"/>
        </w:numPr>
        <w:shd w:val="clear" w:color="auto" w:fill="FFFFFF"/>
        <w:spacing w:after="0" w:line="312" w:lineRule="auto"/>
        <w:jc w:val="both"/>
        <w:rPr>
          <w:rFonts w:ascii="Times New Roman" w:eastAsia="Times New Roman" w:hAnsi="Times New Roman" w:cs="Times New Roman"/>
          <w:color w:val="000000" w:themeColor="text1"/>
          <w:sz w:val="26"/>
          <w:szCs w:val="26"/>
        </w:rPr>
      </w:pPr>
      <w:r w:rsidRPr="001F4747">
        <w:rPr>
          <w:rFonts w:ascii="Times New Roman" w:eastAsia="Times New Roman" w:hAnsi="Times New Roman" w:cs="Times New Roman"/>
          <w:color w:val="000000" w:themeColor="text1"/>
          <w:sz w:val="26"/>
          <w:szCs w:val="26"/>
        </w:rPr>
        <w:t>Doanh thu tiêu thụ tại điểm hòa vốn</w:t>
      </w:r>
    </w:p>
    <w:p w14:paraId="1A159830" w14:textId="44132060" w:rsidR="001F4747" w:rsidRPr="001F4747" w:rsidRDefault="001F4747" w:rsidP="00D70FD6">
      <w:pPr>
        <w:numPr>
          <w:ilvl w:val="0"/>
          <w:numId w:val="5"/>
        </w:numPr>
        <w:shd w:val="clear" w:color="auto" w:fill="FFFFFF"/>
        <w:spacing w:after="0" w:line="312" w:lineRule="auto"/>
        <w:jc w:val="both"/>
        <w:rPr>
          <w:rFonts w:ascii="Times New Roman" w:eastAsia="Times New Roman" w:hAnsi="Times New Roman" w:cs="Times New Roman"/>
          <w:color w:val="000000" w:themeColor="text1"/>
          <w:sz w:val="26"/>
          <w:szCs w:val="26"/>
        </w:rPr>
      </w:pPr>
      <w:r w:rsidRPr="001F4747">
        <w:rPr>
          <w:rFonts w:ascii="Times New Roman" w:eastAsia="Times New Roman" w:hAnsi="Times New Roman" w:cs="Times New Roman"/>
          <w:color w:val="000000" w:themeColor="text1"/>
          <w:sz w:val="26"/>
          <w:szCs w:val="26"/>
        </w:rPr>
        <w:t xml:space="preserve">Thời gian đạt điểm hòa </w:t>
      </w:r>
      <w:r w:rsidR="006A2748">
        <w:rPr>
          <w:rFonts w:ascii="Times New Roman" w:eastAsia="Times New Roman" w:hAnsi="Times New Roman" w:cs="Times New Roman"/>
          <w:color w:val="000000" w:themeColor="text1"/>
          <w:sz w:val="26"/>
          <w:szCs w:val="26"/>
        </w:rPr>
        <w:t>v</w:t>
      </w:r>
      <w:r w:rsidRPr="001F4747">
        <w:rPr>
          <w:rFonts w:ascii="Times New Roman" w:eastAsia="Times New Roman" w:hAnsi="Times New Roman" w:cs="Times New Roman"/>
          <w:color w:val="000000" w:themeColor="text1"/>
          <w:sz w:val="26"/>
          <w:szCs w:val="26"/>
        </w:rPr>
        <w:t>ốn</w:t>
      </w:r>
    </w:p>
    <w:p w14:paraId="497C1798" w14:textId="37A81ADD" w:rsidR="001F4747" w:rsidRPr="00ED45A1" w:rsidRDefault="00BB7E01" w:rsidP="00D70FD6">
      <w:pPr>
        <w:shd w:val="clear" w:color="auto" w:fill="FFFFFF"/>
        <w:spacing w:after="0" w:line="312"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1F4747" w:rsidRPr="001F4747">
        <w:rPr>
          <w:rFonts w:ascii="Times New Roman" w:eastAsia="Times New Roman" w:hAnsi="Times New Roman" w:cs="Times New Roman"/>
          <w:color w:val="000000" w:themeColor="text1"/>
          <w:sz w:val="26"/>
          <w:szCs w:val="26"/>
        </w:rPr>
        <w:t xml:space="preserve">Để </w:t>
      </w:r>
      <w:r w:rsidR="003B25BE">
        <w:rPr>
          <w:rFonts w:ascii="Times New Roman" w:eastAsia="Times New Roman" w:hAnsi="Times New Roman" w:cs="Times New Roman"/>
          <w:color w:val="000000" w:themeColor="text1"/>
          <w:sz w:val="26"/>
          <w:szCs w:val="26"/>
        </w:rPr>
        <w:t>x</w:t>
      </w:r>
      <w:r w:rsidR="001F4747" w:rsidRPr="001F4747">
        <w:rPr>
          <w:rFonts w:ascii="Times New Roman" w:eastAsia="Times New Roman" w:hAnsi="Times New Roman" w:cs="Times New Roman"/>
          <w:color w:val="000000" w:themeColor="text1"/>
          <w:sz w:val="26"/>
          <w:szCs w:val="26"/>
        </w:rPr>
        <w:t>ác định điểm hòa vốn cần phân loại chi phí thành biến phí và định phí. Cầ</w:t>
      </w:r>
      <w:r w:rsidR="00D3090D">
        <w:rPr>
          <w:rFonts w:ascii="Times New Roman" w:eastAsia="Times New Roman" w:hAnsi="Times New Roman" w:cs="Times New Roman"/>
          <w:color w:val="000000" w:themeColor="text1"/>
          <w:sz w:val="26"/>
          <w:szCs w:val="26"/>
        </w:rPr>
        <w:t>n</w:t>
      </w:r>
      <w:r w:rsidR="001F4747" w:rsidRPr="001F4747">
        <w:rPr>
          <w:rFonts w:ascii="Times New Roman" w:eastAsia="Times New Roman" w:hAnsi="Times New Roman" w:cs="Times New Roman"/>
          <w:color w:val="000000" w:themeColor="text1"/>
          <w:sz w:val="26"/>
          <w:szCs w:val="26"/>
        </w:rPr>
        <w:t xml:space="preserve"> xác định giới hạn của quy mô hoạt động trong phạm vi cho phép. Việc xác định giới hạn của quy mô hoạt động là cơ sở tiền đề để xác định định phí cho doanh nghiệp. Xác định điểm hòa vốn có ý nghĩa quan trọng đối với nhà quản trị, bởi nó là căn cứ để nhà quản trị đưa ra các quyết định kinh doanh như chọn phương án kinh doanh, chọn cơ cấu tiêu thụ sản phẩm cho hợp lý, xác định mức sản lượng doanh thu để đạt lợi nhuận mong muốn.</w:t>
      </w:r>
    </w:p>
    <w:p w14:paraId="1B1006CC" w14:textId="0ECCA849" w:rsidR="001F4747" w:rsidRPr="00D70FD6" w:rsidRDefault="001F4747" w:rsidP="00D70FD6">
      <w:pPr>
        <w:pStyle w:val="Heading2"/>
        <w:shd w:val="clear" w:color="auto" w:fill="FFFFFF"/>
        <w:spacing w:before="0" w:beforeAutospacing="0" w:after="0" w:afterAutospacing="0" w:line="312" w:lineRule="auto"/>
        <w:jc w:val="both"/>
        <w:rPr>
          <w:color w:val="000000" w:themeColor="text1"/>
          <w:sz w:val="26"/>
          <w:szCs w:val="26"/>
        </w:rPr>
      </w:pPr>
      <w:r w:rsidRPr="00D70FD6">
        <w:rPr>
          <w:color w:val="000000" w:themeColor="text1"/>
          <w:sz w:val="26"/>
          <w:szCs w:val="26"/>
        </w:rPr>
        <w:t>2. Phân loại điểm hòa vốn</w:t>
      </w:r>
    </w:p>
    <w:p w14:paraId="20DB53F1" w14:textId="77777777" w:rsidR="001F4747" w:rsidRPr="001F4747" w:rsidRDefault="001F4747" w:rsidP="00D70FD6">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1F4747">
        <w:rPr>
          <w:rFonts w:ascii="Times New Roman" w:eastAsia="Times New Roman" w:hAnsi="Times New Roman" w:cs="Times New Roman"/>
          <w:color w:val="000000" w:themeColor="text1"/>
          <w:sz w:val="26"/>
          <w:szCs w:val="26"/>
        </w:rPr>
        <w:t>Điểm hòa vốn được phân loại thành 2 loại cơ bản sau đây: </w:t>
      </w:r>
    </w:p>
    <w:p w14:paraId="19301660" w14:textId="77777777" w:rsidR="001F4747" w:rsidRPr="001F4747" w:rsidRDefault="001F4747" w:rsidP="00D70FD6">
      <w:pPr>
        <w:numPr>
          <w:ilvl w:val="0"/>
          <w:numId w:val="6"/>
        </w:numPr>
        <w:shd w:val="clear" w:color="auto" w:fill="FFFFFF"/>
        <w:spacing w:after="0" w:line="312" w:lineRule="auto"/>
        <w:ind w:left="1020" w:right="300"/>
        <w:jc w:val="both"/>
        <w:rPr>
          <w:rFonts w:ascii="Times New Roman" w:eastAsia="Times New Roman" w:hAnsi="Times New Roman" w:cs="Times New Roman"/>
          <w:color w:val="000000" w:themeColor="text1"/>
          <w:sz w:val="26"/>
          <w:szCs w:val="26"/>
        </w:rPr>
      </w:pPr>
      <w:r w:rsidRPr="001F4747">
        <w:rPr>
          <w:rFonts w:ascii="Times New Roman" w:eastAsia="Times New Roman" w:hAnsi="Times New Roman" w:cs="Times New Roman"/>
          <w:b/>
          <w:bCs/>
          <w:i/>
          <w:iCs/>
          <w:color w:val="000000" w:themeColor="text1"/>
          <w:sz w:val="26"/>
          <w:szCs w:val="26"/>
        </w:rPr>
        <w:lastRenderedPageBreak/>
        <w:t>Điểm hòa vốn kinh tế:</w:t>
      </w:r>
      <w:r w:rsidRPr="001F4747">
        <w:rPr>
          <w:rFonts w:ascii="Times New Roman" w:eastAsia="Times New Roman" w:hAnsi="Times New Roman" w:cs="Times New Roman"/>
          <w:color w:val="000000" w:themeColor="text1"/>
          <w:sz w:val="26"/>
          <w:szCs w:val="26"/>
        </w:rPr>
        <w:t> Là điểm mà tại đó doanh thu bằng tổng chi phí sản xuất kinh doanh như tổng chi phí biến đổi, chi phí cố định kinh doanh. Tại điểm hòa vốn kinh tế, lợi nhuận trước lãi vay và thuế của doanh nghiệp sẽ bằng 0.</w:t>
      </w:r>
    </w:p>
    <w:p w14:paraId="64D721D6" w14:textId="77777777" w:rsidR="001F4747" w:rsidRPr="001F4747" w:rsidRDefault="001F4747" w:rsidP="00D70FD6">
      <w:pPr>
        <w:numPr>
          <w:ilvl w:val="0"/>
          <w:numId w:val="6"/>
        </w:numPr>
        <w:shd w:val="clear" w:color="auto" w:fill="FFFFFF"/>
        <w:spacing w:after="0" w:line="312" w:lineRule="auto"/>
        <w:ind w:left="1020" w:right="300"/>
        <w:jc w:val="both"/>
        <w:rPr>
          <w:rFonts w:ascii="Times New Roman" w:eastAsia="Times New Roman" w:hAnsi="Times New Roman" w:cs="Times New Roman"/>
          <w:color w:val="000000" w:themeColor="text1"/>
          <w:sz w:val="26"/>
          <w:szCs w:val="26"/>
        </w:rPr>
      </w:pPr>
      <w:r w:rsidRPr="001F4747">
        <w:rPr>
          <w:rFonts w:ascii="Times New Roman" w:eastAsia="Times New Roman" w:hAnsi="Times New Roman" w:cs="Times New Roman"/>
          <w:b/>
          <w:bCs/>
          <w:i/>
          <w:iCs/>
          <w:color w:val="000000" w:themeColor="text1"/>
          <w:sz w:val="26"/>
          <w:szCs w:val="26"/>
        </w:rPr>
        <w:t>Điểm hòa vốn tài chính:</w:t>
      </w:r>
      <w:r w:rsidRPr="001F4747">
        <w:rPr>
          <w:rFonts w:ascii="Times New Roman" w:eastAsia="Times New Roman" w:hAnsi="Times New Roman" w:cs="Times New Roman"/>
          <w:color w:val="000000" w:themeColor="text1"/>
          <w:sz w:val="26"/>
          <w:szCs w:val="26"/>
        </w:rPr>
        <w:t> Là điểm mà tại đó doanh thu bằng tổng chi phí sản xuất kinh doanh và lãi vay vốn kinh doanh phải trả. Tại điểm hòa vốn tài chính, lợi nhuận trước thuế của doanh nghiệp bằng 0.</w:t>
      </w:r>
    </w:p>
    <w:p w14:paraId="498B09FA" w14:textId="0C624ABA" w:rsidR="001F4747" w:rsidRPr="00BB7E01" w:rsidRDefault="001F4747" w:rsidP="00D70FD6">
      <w:pPr>
        <w:pStyle w:val="Heading2"/>
        <w:shd w:val="clear" w:color="auto" w:fill="FFFFFF"/>
        <w:spacing w:before="0" w:beforeAutospacing="0" w:after="0" w:afterAutospacing="0" w:line="312" w:lineRule="auto"/>
        <w:jc w:val="both"/>
        <w:rPr>
          <w:color w:val="000000" w:themeColor="text1"/>
          <w:sz w:val="26"/>
          <w:szCs w:val="26"/>
        </w:rPr>
      </w:pPr>
      <w:r w:rsidRPr="00BB7E01">
        <w:rPr>
          <w:color w:val="000000" w:themeColor="text1"/>
          <w:sz w:val="26"/>
          <w:szCs w:val="26"/>
        </w:rPr>
        <w:t>3. Cách xác định điểm hòa vốn</w:t>
      </w:r>
    </w:p>
    <w:p w14:paraId="760A87B8" w14:textId="77777777" w:rsidR="001F4747" w:rsidRPr="00ED45A1" w:rsidRDefault="001F4747" w:rsidP="00D70FD6">
      <w:pPr>
        <w:pStyle w:val="NormalWeb"/>
        <w:shd w:val="clear" w:color="auto" w:fill="FFFFFF"/>
        <w:spacing w:before="0" w:beforeAutospacing="0" w:after="0" w:afterAutospacing="0" w:line="312" w:lineRule="auto"/>
        <w:jc w:val="both"/>
        <w:rPr>
          <w:color w:val="000000" w:themeColor="text1"/>
          <w:sz w:val="26"/>
          <w:szCs w:val="26"/>
        </w:rPr>
      </w:pPr>
      <w:r w:rsidRPr="00ED45A1">
        <w:rPr>
          <w:color w:val="000000" w:themeColor="text1"/>
          <w:sz w:val="26"/>
          <w:szCs w:val="26"/>
        </w:rPr>
        <w:t>Trong hoạt động kinh doanh, để xác định điểm hòa vốn, tùy vào việc doanh nghiệp kinh doanh một sản phẩm hay nhiều sản phẩm mà cách tính điểm hòa vốn sẽ khác nhau. </w:t>
      </w:r>
    </w:p>
    <w:p w14:paraId="0D059E20" w14:textId="321591DC" w:rsidR="001F4747" w:rsidRPr="00ED45A1" w:rsidRDefault="00175517" w:rsidP="00D70FD6">
      <w:pPr>
        <w:pStyle w:val="Heading3"/>
        <w:shd w:val="clear" w:color="auto" w:fill="FFFFFF"/>
        <w:spacing w:before="0" w:line="312" w:lineRule="auto"/>
        <w:jc w:val="both"/>
        <w:rPr>
          <w:rFonts w:ascii="Times New Roman" w:hAnsi="Times New Roman" w:cs="Times New Roman"/>
          <w:color w:val="000000" w:themeColor="text1"/>
          <w:sz w:val="26"/>
          <w:szCs w:val="26"/>
        </w:rPr>
      </w:pPr>
      <w:r w:rsidRPr="00ED45A1">
        <w:rPr>
          <w:rFonts w:ascii="Times New Roman" w:hAnsi="Times New Roman" w:cs="Times New Roman"/>
          <w:b/>
          <w:bCs/>
          <w:color w:val="000000" w:themeColor="text1"/>
          <w:sz w:val="26"/>
          <w:szCs w:val="26"/>
        </w:rPr>
        <w:t xml:space="preserve">3.1. </w:t>
      </w:r>
      <w:r w:rsidR="001F4747" w:rsidRPr="00ED45A1">
        <w:rPr>
          <w:rFonts w:ascii="Times New Roman" w:hAnsi="Times New Roman" w:cs="Times New Roman"/>
          <w:b/>
          <w:bCs/>
          <w:color w:val="000000" w:themeColor="text1"/>
          <w:sz w:val="26"/>
          <w:szCs w:val="26"/>
        </w:rPr>
        <w:t>Cách tính điểm hòa khi kinh doanh một sản phẩm</w:t>
      </w:r>
    </w:p>
    <w:p w14:paraId="1A748AD7" w14:textId="75EF8B3C" w:rsidR="00B64D69" w:rsidRPr="00ED45A1" w:rsidRDefault="00175517" w:rsidP="00D70FD6">
      <w:pPr>
        <w:tabs>
          <w:tab w:val="left" w:pos="360"/>
        </w:tabs>
        <w:spacing w:after="0" w:line="312" w:lineRule="auto"/>
        <w:jc w:val="both"/>
        <w:rPr>
          <w:rFonts w:ascii="Times New Roman" w:hAnsi="Times New Roman" w:cs="Times New Roman"/>
          <w:color w:val="000000" w:themeColor="text1"/>
          <w:sz w:val="26"/>
          <w:szCs w:val="26"/>
          <w:lang w:val="fr-FR"/>
        </w:rPr>
      </w:pPr>
      <w:r w:rsidRPr="00ED45A1">
        <w:rPr>
          <w:rFonts w:ascii="Times New Roman" w:hAnsi="Times New Roman" w:cs="Times New Roman"/>
          <w:b/>
          <w:color w:val="000000" w:themeColor="text1"/>
          <w:sz w:val="26"/>
          <w:szCs w:val="26"/>
        </w:rPr>
        <w:t xml:space="preserve"> + </w:t>
      </w:r>
      <w:r w:rsidR="00B64D69" w:rsidRPr="00ED45A1">
        <w:rPr>
          <w:rFonts w:ascii="Times New Roman" w:hAnsi="Times New Roman" w:cs="Times New Roman"/>
          <w:b/>
          <w:color w:val="000000" w:themeColor="text1"/>
          <w:sz w:val="26"/>
          <w:szCs w:val="26"/>
        </w:rPr>
        <w:t>Xác định điểm hòa vốn trong trường hợp DN kinh doanh 1 loại sản phẩm.</w:t>
      </w:r>
      <w:r w:rsidR="00B64D69" w:rsidRPr="00ED45A1">
        <w:rPr>
          <w:rFonts w:ascii="Times New Roman" w:hAnsi="Times New Roman" w:cs="Times New Roman"/>
          <w:color w:val="000000" w:themeColor="text1"/>
          <w:sz w:val="26"/>
          <w:szCs w:val="26"/>
        </w:rPr>
        <w:tab/>
      </w:r>
    </w:p>
    <w:p w14:paraId="03FF2B1B" w14:textId="6E3C103E" w:rsidR="00B64D69" w:rsidRPr="00ED45A1" w:rsidRDefault="00B64D69" w:rsidP="00D70FD6">
      <w:pPr>
        <w:pStyle w:val="n"/>
        <w:rPr>
          <w:color w:val="000000" w:themeColor="text1"/>
          <w:sz w:val="26"/>
          <w:szCs w:val="26"/>
        </w:rPr>
      </w:pPr>
      <w:r w:rsidRPr="00ED45A1">
        <w:rPr>
          <w:color w:val="000000" w:themeColor="text1"/>
          <w:sz w:val="26"/>
          <w:szCs w:val="26"/>
        </w:rPr>
        <w:t xml:space="preserve">Số lượng sản phẩm hòa vốn:         </w:t>
      </w:r>
    </w:p>
    <w:p w14:paraId="6F256BD8" w14:textId="3472EBF3" w:rsidR="00B64D69" w:rsidRPr="00ED45A1" w:rsidRDefault="008E6C43" w:rsidP="00D70FD6">
      <w:pPr>
        <w:spacing w:after="0" w:line="312" w:lineRule="auto"/>
        <w:jc w:val="both"/>
        <w:rPr>
          <w:rFonts w:ascii="Times New Roman" w:hAnsi="Times New Roman" w:cs="Times New Roman"/>
          <w:color w:val="000000" w:themeColor="text1"/>
          <w:sz w:val="26"/>
          <w:szCs w:val="26"/>
          <w:lang w:val="fr-FR"/>
        </w:rPr>
      </w:pPr>
      <m:oMathPara>
        <m:oMath>
          <m:sSub>
            <m:sSubPr>
              <m:ctrlPr>
                <w:rPr>
                  <w:rFonts w:ascii="Cambria Math" w:eastAsia="Calibri" w:hAnsi="Cambria Math" w:cs="Times New Roman"/>
                  <w:i/>
                  <w:color w:val="000000" w:themeColor="text1"/>
                  <w:sz w:val="26"/>
                  <w:szCs w:val="26"/>
                </w:rPr>
              </m:ctrlPr>
            </m:sSubPr>
            <m:e>
              <m:r>
                <w:rPr>
                  <w:rFonts w:ascii="Cambria Math" w:hAnsi="Cambria Math" w:cs="Times New Roman"/>
                  <w:color w:val="000000" w:themeColor="text1"/>
                  <w:sz w:val="26"/>
                  <w:szCs w:val="26"/>
                </w:rPr>
                <m:t>Q</m:t>
              </m:r>
            </m:e>
            <m:sub>
              <m:r>
                <w:rPr>
                  <w:rFonts w:ascii="Cambria Math" w:hAnsi="Cambria Math" w:cs="Times New Roman"/>
                  <w:color w:val="000000" w:themeColor="text1"/>
                  <w:sz w:val="26"/>
                  <w:szCs w:val="26"/>
                </w:rPr>
                <m:t>0</m:t>
              </m:r>
            </m:sub>
          </m:sSub>
          <m:r>
            <w:rPr>
              <w:rFonts w:ascii="Cambria Math" w:hAnsi="Cambria Math" w:cs="Times New Roman"/>
              <w:color w:val="000000" w:themeColor="text1"/>
              <w:sz w:val="26"/>
              <w:szCs w:val="26"/>
            </w:rPr>
            <m:t>=</m:t>
          </m:r>
          <m:f>
            <m:fPr>
              <m:ctrlPr>
                <w:rPr>
                  <w:rFonts w:ascii="Cambria Math" w:eastAsia="Calibri" w:hAnsi="Cambria Math" w:cs="Times New Roman"/>
                  <w:i/>
                  <w:color w:val="000000" w:themeColor="text1"/>
                  <w:sz w:val="26"/>
                  <w:szCs w:val="26"/>
                </w:rPr>
              </m:ctrlPr>
            </m:fPr>
            <m:num>
              <m:r>
                <w:rPr>
                  <w:rFonts w:ascii="Cambria Math" w:hAnsi="Cambria Math" w:cs="Times New Roman"/>
                  <w:color w:val="000000" w:themeColor="text1"/>
                  <w:sz w:val="26"/>
                  <w:szCs w:val="26"/>
                </w:rPr>
                <m:t>Tổng định phí (FC)</m:t>
              </m:r>
            </m:num>
            <m:den>
              <m:r>
                <w:rPr>
                  <w:rFonts w:ascii="Cambria Math" w:hAnsi="Cambria Math" w:cs="Times New Roman"/>
                  <w:color w:val="000000" w:themeColor="text1"/>
                  <w:sz w:val="26"/>
                  <w:szCs w:val="26"/>
                </w:rPr>
                <m:t xml:space="preserve">Giá bán </m:t>
              </m:r>
              <m:d>
                <m:dPr>
                  <m:ctrlPr>
                    <w:rPr>
                      <w:rFonts w:ascii="Cambria Math" w:hAnsi="Cambria Math" w:cs="Times New Roman"/>
                      <w:i/>
                      <w:color w:val="000000" w:themeColor="text1"/>
                      <w:sz w:val="26"/>
                      <w:szCs w:val="26"/>
                    </w:rPr>
                  </m:ctrlPr>
                </m:dPr>
                <m:e>
                  <m:r>
                    <w:rPr>
                      <w:rFonts w:ascii="Cambria Math" w:hAnsi="Cambria Math" w:cs="Times New Roman"/>
                      <w:color w:val="000000" w:themeColor="text1"/>
                      <w:sz w:val="26"/>
                      <w:szCs w:val="26"/>
                    </w:rPr>
                    <m:t>P</m:t>
                  </m:r>
                </m:e>
              </m:d>
              <m:r>
                <w:rPr>
                  <w:rFonts w:ascii="Cambria Math" w:hAnsi="Cambria Math" w:cs="Times New Roman"/>
                  <w:color w:val="000000" w:themeColor="text1"/>
                  <w:sz w:val="26"/>
                  <w:szCs w:val="26"/>
                </w:rPr>
                <m:t>-Biến phí đơn vị (UVC)</m:t>
              </m:r>
            </m:den>
          </m:f>
        </m:oMath>
      </m:oMathPara>
    </w:p>
    <w:p w14:paraId="6E075779" w14:textId="4E72DFB4" w:rsidR="00B64D69" w:rsidRPr="00ED45A1" w:rsidRDefault="00B64D69" w:rsidP="00D70FD6">
      <w:pPr>
        <w:spacing w:after="0" w:line="312" w:lineRule="auto"/>
        <w:ind w:firstLine="567"/>
        <w:jc w:val="both"/>
        <w:rPr>
          <w:rFonts w:ascii="Times New Roman" w:hAnsi="Times New Roman" w:cs="Times New Roman"/>
          <w:color w:val="000000" w:themeColor="text1"/>
          <w:sz w:val="26"/>
          <w:szCs w:val="26"/>
          <w:lang w:val="fr-FR"/>
        </w:rPr>
      </w:pPr>
      <w:r w:rsidRPr="00ED45A1">
        <w:rPr>
          <w:rFonts w:ascii="Times New Roman" w:hAnsi="Times New Roman" w:cs="Times New Roman"/>
          <w:color w:val="000000" w:themeColor="text1"/>
          <w:sz w:val="26"/>
          <w:szCs w:val="26"/>
          <w:lang w:val="fr-FR"/>
        </w:rPr>
        <w:t>Doanh thu tại điểm hòa vốn:  S</w:t>
      </w:r>
      <w:r w:rsidRPr="00ED45A1">
        <w:rPr>
          <w:rFonts w:ascii="Times New Roman" w:hAnsi="Times New Roman" w:cs="Times New Roman"/>
          <w:color w:val="000000" w:themeColor="text1"/>
          <w:sz w:val="26"/>
          <w:szCs w:val="26"/>
          <w:vertAlign w:val="subscript"/>
          <w:lang w:val="fr-FR"/>
        </w:rPr>
        <w:t xml:space="preserve">0 =  </w:t>
      </w:r>
      <w:r w:rsidRPr="00ED45A1">
        <w:rPr>
          <w:rFonts w:ascii="Times New Roman" w:hAnsi="Times New Roman" w:cs="Times New Roman"/>
          <w:color w:val="000000" w:themeColor="text1"/>
          <w:sz w:val="26"/>
          <w:szCs w:val="26"/>
          <w:lang w:val="fr-FR"/>
        </w:rPr>
        <w:t>Q</w:t>
      </w:r>
      <w:r w:rsidRPr="00ED45A1">
        <w:rPr>
          <w:rFonts w:ascii="Times New Roman" w:hAnsi="Times New Roman" w:cs="Times New Roman"/>
          <w:color w:val="000000" w:themeColor="text1"/>
          <w:sz w:val="26"/>
          <w:szCs w:val="26"/>
          <w:vertAlign w:val="subscript"/>
          <w:lang w:val="fr-FR"/>
        </w:rPr>
        <w:t xml:space="preserve">0 </w:t>
      </w:r>
      <w:r w:rsidRPr="00ED45A1">
        <w:rPr>
          <w:rFonts w:ascii="Times New Roman" w:hAnsi="Times New Roman" w:cs="Times New Roman"/>
          <w:color w:val="000000" w:themeColor="text1"/>
          <w:sz w:val="26"/>
          <w:szCs w:val="26"/>
          <w:lang w:val="fr-FR"/>
        </w:rPr>
        <w:t xml:space="preserve"> x  P</w:t>
      </w:r>
    </w:p>
    <w:p w14:paraId="18891D40" w14:textId="77777777" w:rsidR="00B64D69" w:rsidRPr="00B64D69" w:rsidRDefault="00B64D69" w:rsidP="00D70FD6">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B64D69">
        <w:rPr>
          <w:rFonts w:ascii="Times New Roman" w:eastAsia="Times New Roman" w:hAnsi="Times New Roman" w:cs="Times New Roman"/>
          <w:color w:val="000000" w:themeColor="text1"/>
          <w:sz w:val="26"/>
          <w:szCs w:val="26"/>
        </w:rPr>
        <w:t>Trong đó:</w:t>
      </w:r>
    </w:p>
    <w:p w14:paraId="5F33D7EC" w14:textId="471B719E" w:rsidR="00B64D69" w:rsidRPr="00B64D69" w:rsidRDefault="00B64D69" w:rsidP="00D70FD6">
      <w:pPr>
        <w:numPr>
          <w:ilvl w:val="0"/>
          <w:numId w:val="7"/>
        </w:numPr>
        <w:shd w:val="clear" w:color="auto" w:fill="FFFFFF"/>
        <w:spacing w:after="0" w:line="312" w:lineRule="auto"/>
        <w:ind w:left="1020" w:right="300"/>
        <w:jc w:val="both"/>
        <w:rPr>
          <w:rFonts w:ascii="Times New Roman" w:eastAsia="Times New Roman" w:hAnsi="Times New Roman" w:cs="Times New Roman"/>
          <w:color w:val="000000" w:themeColor="text1"/>
          <w:sz w:val="26"/>
          <w:szCs w:val="26"/>
        </w:rPr>
      </w:pPr>
      <w:r w:rsidRPr="00ED45A1">
        <w:rPr>
          <w:rFonts w:ascii="Times New Roman" w:eastAsia="Times New Roman" w:hAnsi="Times New Roman" w:cs="Times New Roman"/>
          <w:i/>
          <w:iCs/>
          <w:color w:val="000000" w:themeColor="text1"/>
          <w:sz w:val="26"/>
          <w:szCs w:val="26"/>
        </w:rPr>
        <w:t>Định phí</w:t>
      </w:r>
      <w:r w:rsidRPr="00B64D69">
        <w:rPr>
          <w:rFonts w:ascii="Times New Roman" w:eastAsia="Times New Roman" w:hAnsi="Times New Roman" w:cs="Times New Roman"/>
          <w:i/>
          <w:iCs/>
          <w:color w:val="000000" w:themeColor="text1"/>
          <w:sz w:val="26"/>
          <w:szCs w:val="26"/>
        </w:rPr>
        <w:t>:</w:t>
      </w:r>
      <w:r w:rsidRPr="00B64D69">
        <w:rPr>
          <w:rFonts w:ascii="Times New Roman" w:eastAsia="Times New Roman" w:hAnsi="Times New Roman" w:cs="Times New Roman"/>
          <w:color w:val="000000" w:themeColor="text1"/>
          <w:sz w:val="26"/>
          <w:szCs w:val="26"/>
        </w:rPr>
        <w:t> Là các chi phí phát sinh khi bạn bắt đầu kinh doanh như chi phí khấu hao, chi phí lãi vay, thuế, chi phí lao động, tiền thuê... Các chi phí này không biến đổi và không phụ thuộc vào số lượng mặt hàng được bán</w:t>
      </w:r>
      <w:r w:rsidR="003B25BE">
        <w:rPr>
          <w:rFonts w:ascii="Times New Roman" w:eastAsia="Times New Roman" w:hAnsi="Times New Roman" w:cs="Times New Roman"/>
          <w:color w:val="000000" w:themeColor="text1"/>
          <w:sz w:val="26"/>
          <w:szCs w:val="26"/>
        </w:rPr>
        <w:t>.</w:t>
      </w:r>
    </w:p>
    <w:p w14:paraId="62EF5100" w14:textId="02266052" w:rsidR="00B64D69" w:rsidRPr="00ED45A1" w:rsidRDefault="00B64D69" w:rsidP="00D70FD6">
      <w:pPr>
        <w:numPr>
          <w:ilvl w:val="0"/>
          <w:numId w:val="7"/>
        </w:numPr>
        <w:shd w:val="clear" w:color="auto" w:fill="FFFFFF"/>
        <w:spacing w:after="0" w:line="312" w:lineRule="auto"/>
        <w:ind w:left="1020" w:right="300"/>
        <w:jc w:val="both"/>
        <w:rPr>
          <w:rFonts w:ascii="Times New Roman" w:eastAsia="Times New Roman" w:hAnsi="Times New Roman" w:cs="Times New Roman"/>
          <w:color w:val="000000" w:themeColor="text1"/>
          <w:sz w:val="26"/>
          <w:szCs w:val="26"/>
        </w:rPr>
      </w:pPr>
      <w:r w:rsidRPr="00ED45A1">
        <w:rPr>
          <w:rFonts w:ascii="Times New Roman" w:eastAsia="Times New Roman" w:hAnsi="Times New Roman" w:cs="Times New Roman"/>
          <w:i/>
          <w:iCs/>
          <w:color w:val="000000" w:themeColor="text1"/>
          <w:sz w:val="26"/>
          <w:szCs w:val="26"/>
        </w:rPr>
        <w:t>Biến phí</w:t>
      </w:r>
      <w:r w:rsidRPr="00B64D69">
        <w:rPr>
          <w:rFonts w:ascii="Times New Roman" w:eastAsia="Times New Roman" w:hAnsi="Times New Roman" w:cs="Times New Roman"/>
          <w:i/>
          <w:iCs/>
          <w:color w:val="000000" w:themeColor="text1"/>
          <w:sz w:val="26"/>
          <w:szCs w:val="26"/>
        </w:rPr>
        <w:t>: </w:t>
      </w:r>
      <w:r w:rsidRPr="00B64D69">
        <w:rPr>
          <w:rFonts w:ascii="Times New Roman" w:eastAsia="Times New Roman" w:hAnsi="Times New Roman" w:cs="Times New Roman"/>
          <w:color w:val="000000" w:themeColor="text1"/>
          <w:sz w:val="26"/>
          <w:szCs w:val="26"/>
        </w:rPr>
        <w:t>Là những chi phí thay đổi liên tục, có liên quan đến sản lượng sản phẩm như chi phí nguyên liệu</w:t>
      </w:r>
      <w:r w:rsidR="003B25BE">
        <w:rPr>
          <w:rFonts w:ascii="Times New Roman" w:eastAsia="Times New Roman" w:hAnsi="Times New Roman" w:cs="Times New Roman"/>
          <w:color w:val="000000" w:themeColor="text1"/>
          <w:sz w:val="26"/>
          <w:szCs w:val="26"/>
        </w:rPr>
        <w:t xml:space="preserve"> trực tiếp</w:t>
      </w:r>
      <w:r w:rsidRPr="00B64D69">
        <w:rPr>
          <w:rFonts w:ascii="Times New Roman" w:eastAsia="Times New Roman" w:hAnsi="Times New Roman" w:cs="Times New Roman"/>
          <w:color w:val="000000" w:themeColor="text1"/>
          <w:sz w:val="26"/>
          <w:szCs w:val="26"/>
        </w:rPr>
        <w:t xml:space="preserve">, vật liệu.. Khi số lượng sản phẩm tăng </w:t>
      </w:r>
      <w:r w:rsidR="006C4EB1" w:rsidRPr="00ED45A1">
        <w:rPr>
          <w:rFonts w:ascii="Times New Roman" w:eastAsia="Times New Roman" w:hAnsi="Times New Roman" w:cs="Times New Roman"/>
          <w:color w:val="000000" w:themeColor="text1"/>
          <w:sz w:val="26"/>
          <w:szCs w:val="26"/>
        </w:rPr>
        <w:t>lên</w:t>
      </w:r>
      <w:r w:rsidRPr="00B64D69">
        <w:rPr>
          <w:rFonts w:ascii="Times New Roman" w:eastAsia="Times New Roman" w:hAnsi="Times New Roman" w:cs="Times New Roman"/>
          <w:color w:val="000000" w:themeColor="text1"/>
          <w:sz w:val="26"/>
          <w:szCs w:val="26"/>
        </w:rPr>
        <w:t xml:space="preserve"> chắc chắn sẽ phải sử dụng nhiều nguyên vật liệu </w:t>
      </w:r>
      <w:r w:rsidR="003B25BE">
        <w:rPr>
          <w:rFonts w:ascii="Times New Roman" w:eastAsia="Times New Roman" w:hAnsi="Times New Roman" w:cs="Times New Roman"/>
          <w:color w:val="000000" w:themeColor="text1"/>
          <w:sz w:val="26"/>
          <w:szCs w:val="26"/>
        </w:rPr>
        <w:t xml:space="preserve">trực tiếp </w:t>
      </w:r>
      <w:r w:rsidRPr="00B64D69">
        <w:rPr>
          <w:rFonts w:ascii="Times New Roman" w:eastAsia="Times New Roman" w:hAnsi="Times New Roman" w:cs="Times New Roman"/>
          <w:color w:val="000000" w:themeColor="text1"/>
          <w:sz w:val="26"/>
          <w:szCs w:val="26"/>
        </w:rPr>
        <w:t>hơn. Cho nên, chi phí này phụ thuộc vào số lượng mặt hàng được bán.</w:t>
      </w:r>
    </w:p>
    <w:p w14:paraId="2279A94B" w14:textId="086F30FA" w:rsidR="000257F7" w:rsidRPr="00ED45A1" w:rsidRDefault="000257F7" w:rsidP="00D70FD6">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ED45A1">
        <w:rPr>
          <w:rFonts w:ascii="Times New Roman" w:eastAsia="Times New Roman" w:hAnsi="Times New Roman" w:cs="Times New Roman"/>
          <w:b/>
          <w:bCs/>
          <w:color w:val="000000" w:themeColor="text1"/>
          <w:sz w:val="26"/>
          <w:szCs w:val="26"/>
        </w:rPr>
        <w:t>Ví dụ</w:t>
      </w:r>
      <w:r w:rsidR="00BB7E01">
        <w:rPr>
          <w:rFonts w:ascii="Times New Roman" w:eastAsia="Times New Roman" w:hAnsi="Times New Roman" w:cs="Times New Roman"/>
          <w:b/>
          <w:bCs/>
          <w:color w:val="000000" w:themeColor="text1"/>
          <w:sz w:val="26"/>
          <w:szCs w:val="26"/>
        </w:rPr>
        <w:t xml:space="preserve"> 1 </w:t>
      </w:r>
      <w:r w:rsidRPr="00ED45A1">
        <w:rPr>
          <w:rFonts w:ascii="Times New Roman" w:eastAsia="Times New Roman" w:hAnsi="Times New Roman" w:cs="Times New Roman"/>
          <w:b/>
          <w:bCs/>
          <w:color w:val="000000" w:themeColor="text1"/>
          <w:sz w:val="26"/>
          <w:szCs w:val="26"/>
        </w:rPr>
        <w:t>:</w:t>
      </w:r>
      <w:r w:rsidRPr="00ED45A1">
        <w:rPr>
          <w:rFonts w:ascii="Times New Roman" w:eastAsia="Times New Roman" w:hAnsi="Times New Roman" w:cs="Times New Roman"/>
          <w:color w:val="000000" w:themeColor="text1"/>
          <w:sz w:val="26"/>
          <w:szCs w:val="26"/>
        </w:rPr>
        <w:t> Một công ty sản xuất quạt A có kế hoạch sản xuất ra sản phẩm mới dự kiến sẽ có giá bán là 2.000 $. Chi phí cố định trung bình của một năm là 300 nghìn $. Tiền mua các nguyên liệu để sản xuất quạt  là 500$/quạt và sẽ biến đổi theo thời gian. Từ các thông số sau, ta dễ dàng tính được điểm hòa vốn như sau: </w:t>
      </w:r>
    </w:p>
    <w:p w14:paraId="3060642F" w14:textId="586E7B00" w:rsidR="000257F7" w:rsidRPr="00ED45A1" w:rsidRDefault="000257F7" w:rsidP="00D70FD6">
      <w:pPr>
        <w:pStyle w:val="ListParagraph"/>
        <w:shd w:val="clear" w:color="auto" w:fill="FFFFFF"/>
        <w:spacing w:after="0" w:line="312" w:lineRule="auto"/>
        <w:jc w:val="both"/>
        <w:rPr>
          <w:rFonts w:ascii="Times New Roman" w:eastAsia="Times New Roman" w:hAnsi="Times New Roman" w:cs="Times New Roman"/>
          <w:color w:val="000000" w:themeColor="text1"/>
          <w:sz w:val="26"/>
          <w:szCs w:val="26"/>
        </w:rPr>
      </w:pPr>
      <w:r w:rsidRPr="00ED45A1">
        <w:rPr>
          <w:rFonts w:ascii="Times New Roman" w:eastAsia="Times New Roman" w:hAnsi="Times New Roman" w:cs="Times New Roman"/>
          <w:color w:val="000000" w:themeColor="text1"/>
          <w:sz w:val="26"/>
          <w:szCs w:val="26"/>
        </w:rPr>
        <w:t>Điểm hòa vốn (</w:t>
      </w:r>
      <m:oMath>
        <m:sSub>
          <m:sSubPr>
            <m:ctrlPr>
              <w:rPr>
                <w:rFonts w:ascii="Cambria Math" w:eastAsia="Calibri" w:hAnsi="Cambria Math" w:cs="Times New Roman"/>
                <w:i/>
                <w:color w:val="000000" w:themeColor="text1"/>
                <w:sz w:val="26"/>
                <w:szCs w:val="26"/>
              </w:rPr>
            </m:ctrlPr>
          </m:sSubPr>
          <m:e>
            <m:r>
              <w:rPr>
                <w:rFonts w:ascii="Cambria Math" w:hAnsi="Cambria Math" w:cs="Times New Roman"/>
                <w:color w:val="000000" w:themeColor="text1"/>
                <w:sz w:val="26"/>
                <w:szCs w:val="26"/>
              </w:rPr>
              <m:t>Q</m:t>
            </m:r>
          </m:e>
          <m:sub>
            <m:r>
              <w:rPr>
                <w:rFonts w:ascii="Cambria Math" w:hAnsi="Cambria Math" w:cs="Times New Roman"/>
                <w:color w:val="000000" w:themeColor="text1"/>
                <w:sz w:val="26"/>
                <w:szCs w:val="26"/>
              </w:rPr>
              <m:t>0</m:t>
            </m:r>
          </m:sub>
        </m:sSub>
      </m:oMath>
      <w:r w:rsidRPr="00ED45A1">
        <w:rPr>
          <w:rFonts w:ascii="Times New Roman" w:eastAsia="Times New Roman" w:hAnsi="Times New Roman" w:cs="Times New Roman"/>
          <w:color w:val="000000" w:themeColor="text1"/>
          <w:sz w:val="26"/>
          <w:szCs w:val="26"/>
        </w:rPr>
        <w:t>) = $300.000 / ($2.000 - $500) = 200 chiếc</w:t>
      </w:r>
    </w:p>
    <w:p w14:paraId="7CF032EA" w14:textId="77777777" w:rsidR="000257F7" w:rsidRPr="00ED45A1" w:rsidRDefault="000257F7" w:rsidP="00D70FD6">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ED45A1">
        <w:rPr>
          <w:rFonts w:ascii="Times New Roman" w:eastAsia="Times New Roman" w:hAnsi="Times New Roman" w:cs="Times New Roman"/>
          <w:color w:val="000000" w:themeColor="text1"/>
          <w:sz w:val="26"/>
          <w:szCs w:val="26"/>
        </w:rPr>
        <w:t>Điều này có nghĩa là công ty A phải bán 200 cái tủ không có lãi. Từ chiếc thứ 201 trở đi thì mới là tiền lãi.</w:t>
      </w:r>
    </w:p>
    <w:p w14:paraId="357AA6D2" w14:textId="7BEF48C3" w:rsidR="00175517" w:rsidRPr="00ED45A1" w:rsidRDefault="00175517" w:rsidP="00D70FD6">
      <w:pPr>
        <w:pStyle w:val="Heading3"/>
        <w:shd w:val="clear" w:color="auto" w:fill="FFFFFF"/>
        <w:spacing w:before="0" w:line="312" w:lineRule="auto"/>
        <w:jc w:val="both"/>
        <w:rPr>
          <w:rFonts w:ascii="Times New Roman" w:hAnsi="Times New Roman" w:cs="Times New Roman"/>
          <w:color w:val="000000" w:themeColor="text1"/>
          <w:sz w:val="26"/>
          <w:szCs w:val="26"/>
        </w:rPr>
      </w:pPr>
      <w:r w:rsidRPr="00ED45A1">
        <w:rPr>
          <w:rFonts w:ascii="Times New Roman" w:hAnsi="Times New Roman" w:cs="Times New Roman"/>
          <w:b/>
          <w:bCs/>
          <w:color w:val="000000" w:themeColor="text1"/>
          <w:sz w:val="26"/>
          <w:szCs w:val="26"/>
        </w:rPr>
        <w:t>+ Cách tính điểm hòa vốn khi kinh doanh nhiều sản phẩm</w:t>
      </w:r>
      <w:r w:rsidR="003B6F77">
        <w:rPr>
          <w:rFonts w:ascii="Times New Roman" w:hAnsi="Times New Roman" w:cs="Times New Roman"/>
          <w:b/>
          <w:bCs/>
          <w:color w:val="000000" w:themeColor="text1"/>
          <w:sz w:val="26"/>
          <w:szCs w:val="26"/>
        </w:rPr>
        <w:t xml:space="preserve">  </w:t>
      </w:r>
    </w:p>
    <w:p w14:paraId="3D5EA8AC" w14:textId="232BF8BD" w:rsidR="00175517" w:rsidRPr="00ED45A1" w:rsidRDefault="00175517" w:rsidP="00D70FD6">
      <w:pPr>
        <w:pStyle w:val="NormalWeb"/>
        <w:shd w:val="clear" w:color="auto" w:fill="FFFFFF"/>
        <w:spacing w:before="0" w:beforeAutospacing="0" w:after="0" w:afterAutospacing="0" w:line="312" w:lineRule="auto"/>
        <w:jc w:val="both"/>
        <w:rPr>
          <w:color w:val="000000" w:themeColor="text1"/>
          <w:sz w:val="26"/>
          <w:szCs w:val="26"/>
        </w:rPr>
      </w:pPr>
      <w:r w:rsidRPr="00ED45A1">
        <w:rPr>
          <w:color w:val="000000" w:themeColor="text1"/>
          <w:sz w:val="26"/>
          <w:szCs w:val="26"/>
        </w:rPr>
        <w:t xml:space="preserve">    Nếu công ty bạn nhiều loại sản phẩm khác nhau thì cần phải tính điểm hoà vốn cho từng loại sản phẩm. Cách thực hiện theo các bước như sau:</w:t>
      </w:r>
    </w:p>
    <w:p w14:paraId="737994EA" w14:textId="77777777" w:rsidR="00175517" w:rsidRPr="00ED45A1" w:rsidRDefault="00175517" w:rsidP="00D70FD6">
      <w:pPr>
        <w:pStyle w:val="NormalWeb"/>
        <w:shd w:val="clear" w:color="auto" w:fill="FFFFFF"/>
        <w:spacing w:before="0" w:beforeAutospacing="0" w:after="0" w:afterAutospacing="0" w:line="312" w:lineRule="auto"/>
        <w:jc w:val="both"/>
        <w:rPr>
          <w:color w:val="000000" w:themeColor="text1"/>
          <w:sz w:val="26"/>
          <w:szCs w:val="26"/>
        </w:rPr>
      </w:pPr>
      <w:r w:rsidRPr="00ED45A1">
        <w:rPr>
          <w:rStyle w:val="Strong"/>
          <w:color w:val="000000" w:themeColor="text1"/>
          <w:sz w:val="26"/>
          <w:szCs w:val="26"/>
        </w:rPr>
        <w:t>Bước 1:</w:t>
      </w:r>
      <w:r w:rsidRPr="00ED45A1">
        <w:rPr>
          <w:color w:val="000000" w:themeColor="text1"/>
          <w:sz w:val="26"/>
          <w:szCs w:val="26"/>
        </w:rPr>
        <w:t> Tính tỷ lệ kết cấu của các mặt hàng tiêu thụ theo công thức sau:</w:t>
      </w:r>
    </w:p>
    <w:p w14:paraId="1A52CB52" w14:textId="5EBFD0E1" w:rsidR="00175517" w:rsidRPr="00ED45A1" w:rsidRDefault="00B018A7" w:rsidP="00D70FD6">
      <w:pPr>
        <w:pStyle w:val="NormalWeb"/>
        <w:shd w:val="clear" w:color="auto" w:fill="FFFFFF"/>
        <w:spacing w:before="0" w:beforeAutospacing="0" w:after="0" w:afterAutospacing="0" w:line="312" w:lineRule="auto"/>
        <w:jc w:val="both"/>
        <w:rPr>
          <w:color w:val="000000" w:themeColor="text1"/>
          <w:sz w:val="26"/>
          <w:szCs w:val="26"/>
        </w:rPr>
      </w:pPr>
      <w:r>
        <w:rPr>
          <w:color w:val="000000" w:themeColor="text1"/>
          <w:sz w:val="26"/>
          <w:szCs w:val="26"/>
        </w:rPr>
        <w:t xml:space="preserve"> </w:t>
      </w:r>
      <w:r w:rsidR="00175517" w:rsidRPr="00ED45A1">
        <w:rPr>
          <w:color w:val="000000" w:themeColor="text1"/>
          <w:sz w:val="26"/>
          <w:szCs w:val="26"/>
        </w:rPr>
        <w:t>Tỷ lệ của mặt hàng i = (Doanh thu của từng mặt hàng i / Tổng doanh thu) x 100%</w:t>
      </w:r>
    </w:p>
    <w:p w14:paraId="3BD89B63" w14:textId="77777777" w:rsidR="00CB4D67" w:rsidRPr="00ED45A1" w:rsidRDefault="00CB4D67" w:rsidP="00D70FD6">
      <w:pPr>
        <w:pStyle w:val="NormalWeb"/>
        <w:shd w:val="clear" w:color="auto" w:fill="FFFFFF"/>
        <w:spacing w:before="0" w:beforeAutospacing="0" w:after="0" w:afterAutospacing="0" w:line="312" w:lineRule="auto"/>
        <w:jc w:val="both"/>
        <w:rPr>
          <w:rStyle w:val="Strong"/>
          <w:color w:val="000000" w:themeColor="text1"/>
          <w:sz w:val="26"/>
          <w:szCs w:val="26"/>
        </w:rPr>
      </w:pPr>
      <w:r w:rsidRPr="00ED45A1">
        <w:rPr>
          <w:rStyle w:val="Strong"/>
          <w:color w:val="000000" w:themeColor="text1"/>
          <w:sz w:val="26"/>
          <w:szCs w:val="26"/>
        </w:rPr>
        <w:t>Bước 2: Tính tỷ lệ số dư đảm phí từng sản phẩm</w:t>
      </w:r>
    </w:p>
    <w:p w14:paraId="07E43C2D" w14:textId="6AAAF728" w:rsidR="00CB4D67" w:rsidRPr="00ED45A1" w:rsidRDefault="00CB4D67" w:rsidP="00D70FD6">
      <w:pPr>
        <w:pStyle w:val="NormalWeb"/>
        <w:shd w:val="clear" w:color="auto" w:fill="FFFFFF"/>
        <w:spacing w:before="0" w:beforeAutospacing="0" w:after="0" w:afterAutospacing="0" w:line="312" w:lineRule="auto"/>
        <w:jc w:val="both"/>
        <w:rPr>
          <w:rStyle w:val="Strong"/>
          <w:color w:val="000000" w:themeColor="text1"/>
          <w:sz w:val="26"/>
          <w:szCs w:val="26"/>
        </w:rPr>
      </w:pPr>
      <w:r w:rsidRPr="00ED45A1">
        <w:rPr>
          <w:color w:val="000000" w:themeColor="text1"/>
          <w:sz w:val="26"/>
          <w:szCs w:val="26"/>
        </w:rPr>
        <w:t>Tỷ lệ SDĐP từng sản phẩm i = Số dư đảm phí đơn vị  sản phẩm i/ Giá bán đơn vị từng sản phẩm i</w:t>
      </w:r>
    </w:p>
    <w:p w14:paraId="754EDB6F" w14:textId="26E1794F" w:rsidR="00175517" w:rsidRPr="00ED45A1" w:rsidRDefault="00175517" w:rsidP="00D70FD6">
      <w:pPr>
        <w:pStyle w:val="NormalWeb"/>
        <w:shd w:val="clear" w:color="auto" w:fill="FFFFFF"/>
        <w:spacing w:before="0" w:beforeAutospacing="0" w:after="0" w:afterAutospacing="0" w:line="312" w:lineRule="auto"/>
        <w:jc w:val="both"/>
        <w:rPr>
          <w:color w:val="000000" w:themeColor="text1"/>
          <w:sz w:val="26"/>
          <w:szCs w:val="26"/>
        </w:rPr>
      </w:pPr>
      <w:r w:rsidRPr="00ED45A1">
        <w:rPr>
          <w:rStyle w:val="Strong"/>
          <w:color w:val="000000" w:themeColor="text1"/>
          <w:sz w:val="26"/>
          <w:szCs w:val="26"/>
        </w:rPr>
        <w:t xml:space="preserve">Bước </w:t>
      </w:r>
      <w:r w:rsidR="00CB4D67" w:rsidRPr="00ED45A1">
        <w:rPr>
          <w:rStyle w:val="Strong"/>
          <w:color w:val="000000" w:themeColor="text1"/>
          <w:sz w:val="26"/>
          <w:szCs w:val="26"/>
        </w:rPr>
        <w:t>3</w:t>
      </w:r>
      <w:r w:rsidRPr="00ED45A1">
        <w:rPr>
          <w:rStyle w:val="Strong"/>
          <w:color w:val="000000" w:themeColor="text1"/>
          <w:sz w:val="26"/>
          <w:szCs w:val="26"/>
        </w:rPr>
        <w:t>:</w:t>
      </w:r>
      <w:r w:rsidRPr="00ED45A1">
        <w:rPr>
          <w:color w:val="000000" w:themeColor="text1"/>
          <w:sz w:val="26"/>
          <w:szCs w:val="26"/>
        </w:rPr>
        <w:t> Tính tỷ lệ số dư đảm phí bình quân của các mặt hàng theo công thức:</w:t>
      </w:r>
    </w:p>
    <w:p w14:paraId="6D451893" w14:textId="45357689" w:rsidR="00175517" w:rsidRPr="00ED45A1" w:rsidRDefault="0040252C" w:rsidP="00D70FD6">
      <w:pPr>
        <w:pStyle w:val="NormalWeb"/>
        <w:shd w:val="clear" w:color="auto" w:fill="FFFFFF"/>
        <w:spacing w:before="0" w:beforeAutospacing="0" w:after="0" w:afterAutospacing="0" w:line="312" w:lineRule="auto"/>
        <w:jc w:val="both"/>
        <w:rPr>
          <w:color w:val="000000" w:themeColor="text1"/>
          <w:sz w:val="26"/>
          <w:szCs w:val="26"/>
        </w:rPr>
      </w:pPr>
      <w:r w:rsidRPr="00ED45A1">
        <w:rPr>
          <w:color w:val="000000" w:themeColor="text1"/>
          <w:sz w:val="26"/>
          <w:szCs w:val="26"/>
        </w:rPr>
        <w:t xml:space="preserve">  </w:t>
      </w:r>
      <w:r w:rsidR="00175517" w:rsidRPr="00ED45A1">
        <w:rPr>
          <w:color w:val="000000" w:themeColor="text1"/>
          <w:sz w:val="26"/>
          <w:szCs w:val="26"/>
        </w:rPr>
        <w:t xml:space="preserve">Tỷ lệ SDĐP bình quân = </w:t>
      </w:r>
      <m:oMath>
        <m:nary>
          <m:naryPr>
            <m:chr m:val="∑"/>
            <m:limLoc m:val="undOvr"/>
            <m:subHide m:val="1"/>
            <m:supHide m:val="1"/>
            <m:ctrlPr>
              <w:rPr>
                <w:rFonts w:ascii="Cambria Math" w:hAnsi="Cambria Math"/>
                <w:i/>
                <w:color w:val="000000" w:themeColor="text1"/>
                <w:sz w:val="26"/>
                <w:szCs w:val="26"/>
              </w:rPr>
            </m:ctrlPr>
          </m:naryPr>
          <m:sub/>
          <m:sup/>
          <m:e>
            <m:r>
              <m:rPr>
                <m:sty m:val="p"/>
              </m:rPr>
              <w:rPr>
                <w:rFonts w:ascii="Cambria Math" w:hAnsi="Cambria Math"/>
                <w:color w:val="000000" w:themeColor="text1"/>
                <w:sz w:val="26"/>
                <w:szCs w:val="26"/>
              </w:rPr>
              <m:t>(Tỷ lệ SDĐP i x Tỷ lệ kết cấu mặt hàng i)</m:t>
            </m:r>
          </m:e>
        </m:nary>
      </m:oMath>
    </w:p>
    <w:p w14:paraId="436059BE" w14:textId="0278D8A7" w:rsidR="0040252C" w:rsidRPr="00ED45A1" w:rsidRDefault="00175517" w:rsidP="00D70FD6">
      <w:pPr>
        <w:pStyle w:val="NormalWeb"/>
        <w:shd w:val="clear" w:color="auto" w:fill="FFFFFF"/>
        <w:spacing w:before="0" w:beforeAutospacing="0" w:after="0" w:afterAutospacing="0" w:line="312" w:lineRule="auto"/>
        <w:jc w:val="both"/>
        <w:rPr>
          <w:color w:val="000000" w:themeColor="text1"/>
          <w:sz w:val="26"/>
          <w:szCs w:val="26"/>
        </w:rPr>
      </w:pPr>
      <w:r w:rsidRPr="00ED45A1">
        <w:rPr>
          <w:rStyle w:val="Strong"/>
          <w:color w:val="000000" w:themeColor="text1"/>
          <w:sz w:val="26"/>
          <w:szCs w:val="26"/>
        </w:rPr>
        <w:t xml:space="preserve">Bước </w:t>
      </w:r>
      <w:r w:rsidR="00CB4D67" w:rsidRPr="00ED45A1">
        <w:rPr>
          <w:rStyle w:val="Strong"/>
          <w:color w:val="000000" w:themeColor="text1"/>
          <w:sz w:val="26"/>
          <w:szCs w:val="26"/>
        </w:rPr>
        <w:t>4</w:t>
      </w:r>
      <w:r w:rsidRPr="00ED45A1">
        <w:rPr>
          <w:rStyle w:val="Strong"/>
          <w:color w:val="000000" w:themeColor="text1"/>
          <w:sz w:val="26"/>
          <w:szCs w:val="26"/>
        </w:rPr>
        <w:t>:</w:t>
      </w:r>
      <w:r w:rsidRPr="00ED45A1">
        <w:rPr>
          <w:color w:val="000000" w:themeColor="text1"/>
          <w:sz w:val="26"/>
          <w:szCs w:val="26"/>
        </w:rPr>
        <w:t xml:space="preserve"> Tính doanh thu hòa vốn chung theo công thức: </w:t>
      </w:r>
    </w:p>
    <w:p w14:paraId="0ECCA4EF" w14:textId="5CAF3AEA" w:rsidR="00175517" w:rsidRPr="00ED45A1" w:rsidRDefault="0040252C" w:rsidP="00D70FD6">
      <w:pPr>
        <w:pStyle w:val="NormalWeb"/>
        <w:shd w:val="clear" w:color="auto" w:fill="FFFFFF"/>
        <w:spacing w:before="0" w:beforeAutospacing="0" w:after="0" w:afterAutospacing="0" w:line="312" w:lineRule="auto"/>
        <w:jc w:val="both"/>
        <w:rPr>
          <w:color w:val="000000" w:themeColor="text1"/>
          <w:sz w:val="26"/>
          <w:szCs w:val="26"/>
        </w:rPr>
      </w:pPr>
      <w:r w:rsidRPr="00ED45A1">
        <w:rPr>
          <w:color w:val="000000" w:themeColor="text1"/>
          <w:sz w:val="26"/>
          <w:szCs w:val="26"/>
        </w:rPr>
        <w:t xml:space="preserve">            </w:t>
      </w:r>
      <w:r w:rsidR="00175517" w:rsidRPr="00ED45A1">
        <w:rPr>
          <w:color w:val="000000" w:themeColor="text1"/>
          <w:sz w:val="26"/>
          <w:szCs w:val="26"/>
        </w:rPr>
        <w:t>Doanh thu hòa vốn = Tổng định phí / Tỷ lệ số dư đảm phí bình quân</w:t>
      </w:r>
    </w:p>
    <w:p w14:paraId="0BCD35F7" w14:textId="77777777" w:rsidR="002F54DC" w:rsidRDefault="00175517" w:rsidP="00D70FD6">
      <w:pPr>
        <w:pStyle w:val="NormalWeb"/>
        <w:shd w:val="clear" w:color="auto" w:fill="FFFFFF"/>
        <w:spacing w:before="0" w:beforeAutospacing="0" w:after="0" w:afterAutospacing="0" w:line="312" w:lineRule="auto"/>
        <w:jc w:val="both"/>
        <w:rPr>
          <w:color w:val="000000" w:themeColor="text1"/>
          <w:sz w:val="26"/>
          <w:szCs w:val="26"/>
        </w:rPr>
      </w:pPr>
      <w:r w:rsidRPr="00ED45A1">
        <w:rPr>
          <w:rStyle w:val="Strong"/>
          <w:color w:val="000000" w:themeColor="text1"/>
          <w:sz w:val="26"/>
          <w:szCs w:val="26"/>
        </w:rPr>
        <w:t xml:space="preserve">Bước </w:t>
      </w:r>
      <w:r w:rsidR="00CB4D67" w:rsidRPr="00ED45A1">
        <w:rPr>
          <w:rStyle w:val="Strong"/>
          <w:color w:val="000000" w:themeColor="text1"/>
          <w:sz w:val="26"/>
          <w:szCs w:val="26"/>
        </w:rPr>
        <w:t>5</w:t>
      </w:r>
      <w:r w:rsidRPr="00ED45A1">
        <w:rPr>
          <w:rStyle w:val="Strong"/>
          <w:color w:val="000000" w:themeColor="text1"/>
          <w:sz w:val="26"/>
          <w:szCs w:val="26"/>
        </w:rPr>
        <w:t>:</w:t>
      </w:r>
      <w:r w:rsidRPr="00ED45A1">
        <w:rPr>
          <w:color w:val="000000" w:themeColor="text1"/>
          <w:sz w:val="26"/>
          <w:szCs w:val="26"/>
        </w:rPr>
        <w:t> Tính doanh thu hòa vốn và sản lượng hoà vốn cho từng mặt hàng theo công thức: </w:t>
      </w:r>
    </w:p>
    <w:p w14:paraId="5BE01D18" w14:textId="2EAE6FD8" w:rsidR="00175517" w:rsidRPr="00ED45A1" w:rsidRDefault="00175517" w:rsidP="00D70FD6">
      <w:pPr>
        <w:pStyle w:val="NormalWeb"/>
        <w:shd w:val="clear" w:color="auto" w:fill="FFFFFF"/>
        <w:spacing w:before="0" w:beforeAutospacing="0" w:after="0" w:afterAutospacing="0" w:line="312" w:lineRule="auto"/>
        <w:jc w:val="both"/>
        <w:rPr>
          <w:color w:val="000000" w:themeColor="text1"/>
          <w:sz w:val="26"/>
          <w:szCs w:val="26"/>
        </w:rPr>
      </w:pPr>
      <w:r w:rsidRPr="00ED45A1">
        <w:rPr>
          <w:color w:val="000000" w:themeColor="text1"/>
          <w:sz w:val="26"/>
          <w:szCs w:val="26"/>
        </w:rPr>
        <w:t xml:space="preserve"> Doanh thu hòa vốn mặt hàng (i) = Doanh thu hòa vốn</w:t>
      </w:r>
      <w:r w:rsidR="002F54DC">
        <w:rPr>
          <w:color w:val="000000" w:themeColor="text1"/>
          <w:sz w:val="26"/>
          <w:szCs w:val="26"/>
        </w:rPr>
        <w:t xml:space="preserve"> chung</w:t>
      </w:r>
      <w:r w:rsidRPr="00ED45A1">
        <w:rPr>
          <w:color w:val="000000" w:themeColor="text1"/>
          <w:sz w:val="26"/>
          <w:szCs w:val="26"/>
        </w:rPr>
        <w:t xml:space="preserve"> x Tỷ lệ kết cấu từng mặt hàng</w:t>
      </w:r>
    </w:p>
    <w:p w14:paraId="3FC90B5E" w14:textId="091018E7" w:rsidR="00175517" w:rsidRPr="00ED45A1" w:rsidRDefault="00175517" w:rsidP="00D70FD6">
      <w:pPr>
        <w:pStyle w:val="NormalWeb"/>
        <w:shd w:val="clear" w:color="auto" w:fill="FFFFFF"/>
        <w:spacing w:before="0" w:beforeAutospacing="0" w:after="0" w:afterAutospacing="0" w:line="312" w:lineRule="auto"/>
        <w:jc w:val="both"/>
        <w:rPr>
          <w:color w:val="000000" w:themeColor="text1"/>
          <w:sz w:val="26"/>
          <w:szCs w:val="26"/>
        </w:rPr>
      </w:pPr>
      <w:r w:rsidRPr="00ED45A1">
        <w:rPr>
          <w:color w:val="000000" w:themeColor="text1"/>
          <w:sz w:val="26"/>
          <w:szCs w:val="26"/>
        </w:rPr>
        <w:t>Sản lượng hòa vốn của từng loại sản phẩm i theo công thức: </w:t>
      </w:r>
    </w:p>
    <w:p w14:paraId="1EC5F356" w14:textId="77777777" w:rsidR="00175517" w:rsidRPr="00ED45A1" w:rsidRDefault="00175517" w:rsidP="00D70FD6">
      <w:pPr>
        <w:pStyle w:val="NormalWeb"/>
        <w:shd w:val="clear" w:color="auto" w:fill="FFFFFF"/>
        <w:spacing w:before="0" w:beforeAutospacing="0" w:after="0" w:afterAutospacing="0" w:line="312" w:lineRule="auto"/>
        <w:jc w:val="both"/>
        <w:rPr>
          <w:color w:val="000000" w:themeColor="text1"/>
          <w:sz w:val="26"/>
          <w:szCs w:val="26"/>
        </w:rPr>
      </w:pPr>
      <w:r w:rsidRPr="00ED45A1">
        <w:rPr>
          <w:color w:val="000000" w:themeColor="text1"/>
          <w:sz w:val="26"/>
          <w:szCs w:val="26"/>
        </w:rPr>
        <w:t>Sản lượng hòa vốn = Doanh thu hòa vốn sản phẩm i / giá sản phẩm</w:t>
      </w:r>
    </w:p>
    <w:p w14:paraId="3A69CF15" w14:textId="0989F883" w:rsidR="0040252C" w:rsidRPr="00ED45A1" w:rsidRDefault="0040252C" w:rsidP="00D70FD6">
      <w:pPr>
        <w:spacing w:after="0" w:line="312" w:lineRule="auto"/>
        <w:jc w:val="both"/>
        <w:rPr>
          <w:rFonts w:ascii="Times New Roman" w:hAnsi="Times New Roman" w:cs="Times New Roman"/>
          <w:color w:val="000000" w:themeColor="text1"/>
          <w:sz w:val="26"/>
          <w:szCs w:val="26"/>
        </w:rPr>
      </w:pPr>
      <w:r w:rsidRPr="00D3090D">
        <w:rPr>
          <w:rFonts w:ascii="Times New Roman" w:hAnsi="Times New Roman" w:cs="Times New Roman"/>
          <w:b/>
          <w:bCs/>
          <w:color w:val="000000" w:themeColor="text1"/>
          <w:sz w:val="26"/>
          <w:szCs w:val="26"/>
        </w:rPr>
        <w:t>Ví dụ 2:</w:t>
      </w:r>
      <w:r w:rsidRPr="00ED45A1">
        <w:rPr>
          <w:rFonts w:ascii="Times New Roman" w:hAnsi="Times New Roman" w:cs="Times New Roman"/>
          <w:color w:val="000000" w:themeColor="text1"/>
          <w:sz w:val="26"/>
          <w:szCs w:val="26"/>
        </w:rPr>
        <w:t xml:space="preserve"> Tại một DN</w:t>
      </w:r>
      <w:r w:rsidR="00BB7E01">
        <w:rPr>
          <w:rFonts w:ascii="Times New Roman" w:hAnsi="Times New Roman" w:cs="Times New Roman"/>
          <w:color w:val="000000" w:themeColor="text1"/>
          <w:sz w:val="26"/>
          <w:szCs w:val="26"/>
        </w:rPr>
        <w:t>SX</w:t>
      </w:r>
      <w:r w:rsidRPr="00ED45A1">
        <w:rPr>
          <w:rFonts w:ascii="Times New Roman" w:hAnsi="Times New Roman" w:cs="Times New Roman"/>
          <w:color w:val="000000" w:themeColor="text1"/>
          <w:sz w:val="26"/>
          <w:szCs w:val="26"/>
        </w:rPr>
        <w:t xml:space="preserve"> X kinh doanh 2 loại SP N và SP M có tài liệu thu thập được như sau: </w:t>
      </w:r>
    </w:p>
    <w:tbl>
      <w:tblPr>
        <w:tblW w:w="8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400"/>
        <w:gridCol w:w="2400"/>
      </w:tblGrid>
      <w:tr w:rsidR="00ED45A1" w:rsidRPr="00ED45A1" w14:paraId="24555EDC" w14:textId="77777777" w:rsidTr="00A63743">
        <w:trPr>
          <w:jc w:val="center"/>
        </w:trPr>
        <w:tc>
          <w:tcPr>
            <w:tcW w:w="3823" w:type="dxa"/>
            <w:shd w:val="clear" w:color="auto" w:fill="F2F2F2"/>
            <w:vAlign w:val="center"/>
          </w:tcPr>
          <w:p w14:paraId="083A3AF0" w14:textId="77777777" w:rsidR="0040252C" w:rsidRPr="00ED45A1" w:rsidRDefault="0040252C" w:rsidP="00D70FD6">
            <w:pPr>
              <w:spacing w:after="0" w:line="312" w:lineRule="auto"/>
              <w:jc w:val="both"/>
              <w:rPr>
                <w:rFonts w:ascii="Times New Roman" w:hAnsi="Times New Roman" w:cs="Times New Roman"/>
                <w:b/>
                <w:color w:val="000000" w:themeColor="text1"/>
                <w:sz w:val="26"/>
                <w:szCs w:val="26"/>
              </w:rPr>
            </w:pPr>
            <w:r w:rsidRPr="00ED45A1">
              <w:rPr>
                <w:rFonts w:ascii="Times New Roman" w:hAnsi="Times New Roman" w:cs="Times New Roman"/>
                <w:b/>
                <w:color w:val="000000" w:themeColor="text1"/>
                <w:sz w:val="26"/>
                <w:szCs w:val="26"/>
              </w:rPr>
              <w:t>Khoản mục</w:t>
            </w:r>
          </w:p>
        </w:tc>
        <w:tc>
          <w:tcPr>
            <w:tcW w:w="2400" w:type="dxa"/>
            <w:shd w:val="clear" w:color="auto" w:fill="F2F2F2"/>
            <w:vAlign w:val="center"/>
          </w:tcPr>
          <w:p w14:paraId="3CF3C8A7" w14:textId="77777777" w:rsidR="0040252C" w:rsidRPr="00ED45A1" w:rsidRDefault="0040252C" w:rsidP="00D70FD6">
            <w:pPr>
              <w:spacing w:after="0" w:line="312" w:lineRule="auto"/>
              <w:jc w:val="both"/>
              <w:rPr>
                <w:rFonts w:ascii="Times New Roman" w:hAnsi="Times New Roman" w:cs="Times New Roman"/>
                <w:b/>
                <w:color w:val="000000" w:themeColor="text1"/>
                <w:sz w:val="26"/>
                <w:szCs w:val="26"/>
              </w:rPr>
            </w:pPr>
            <w:r w:rsidRPr="00ED45A1">
              <w:rPr>
                <w:rFonts w:ascii="Times New Roman" w:hAnsi="Times New Roman" w:cs="Times New Roman"/>
                <w:b/>
                <w:color w:val="000000" w:themeColor="text1"/>
                <w:sz w:val="26"/>
                <w:szCs w:val="26"/>
              </w:rPr>
              <w:t>Sản phẩm N</w:t>
            </w:r>
          </w:p>
        </w:tc>
        <w:tc>
          <w:tcPr>
            <w:tcW w:w="2400" w:type="dxa"/>
            <w:shd w:val="clear" w:color="auto" w:fill="F2F2F2"/>
            <w:vAlign w:val="center"/>
          </w:tcPr>
          <w:p w14:paraId="6F6582BC" w14:textId="77777777" w:rsidR="0040252C" w:rsidRPr="00ED45A1" w:rsidRDefault="0040252C" w:rsidP="00D70FD6">
            <w:pPr>
              <w:spacing w:after="0" w:line="312" w:lineRule="auto"/>
              <w:jc w:val="both"/>
              <w:rPr>
                <w:rFonts w:ascii="Times New Roman" w:hAnsi="Times New Roman" w:cs="Times New Roman"/>
                <w:b/>
                <w:color w:val="000000" w:themeColor="text1"/>
                <w:sz w:val="26"/>
                <w:szCs w:val="26"/>
              </w:rPr>
            </w:pPr>
            <w:r w:rsidRPr="00ED45A1">
              <w:rPr>
                <w:rFonts w:ascii="Times New Roman" w:hAnsi="Times New Roman" w:cs="Times New Roman"/>
                <w:b/>
                <w:color w:val="000000" w:themeColor="text1"/>
                <w:sz w:val="26"/>
                <w:szCs w:val="26"/>
              </w:rPr>
              <w:t>Sản phẩm M</w:t>
            </w:r>
          </w:p>
        </w:tc>
      </w:tr>
      <w:tr w:rsidR="00ED45A1" w:rsidRPr="00ED45A1" w14:paraId="1580FDD7" w14:textId="77777777" w:rsidTr="00A63743">
        <w:trPr>
          <w:jc w:val="center"/>
        </w:trPr>
        <w:tc>
          <w:tcPr>
            <w:tcW w:w="3823" w:type="dxa"/>
            <w:vAlign w:val="center"/>
          </w:tcPr>
          <w:p w14:paraId="7A24DB6F" w14:textId="3717806B" w:rsidR="0040252C" w:rsidRPr="00ED45A1" w:rsidRDefault="0040252C" w:rsidP="00D70FD6">
            <w:pPr>
              <w:spacing w:after="0" w:line="312" w:lineRule="auto"/>
              <w:jc w:val="both"/>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Đơn giá bán</w:t>
            </w:r>
            <w:r w:rsidR="00A63743" w:rsidRPr="00ED45A1">
              <w:rPr>
                <w:rFonts w:ascii="Times New Roman" w:hAnsi="Times New Roman" w:cs="Times New Roman"/>
                <w:color w:val="000000" w:themeColor="text1"/>
                <w:sz w:val="26"/>
                <w:szCs w:val="26"/>
              </w:rPr>
              <w:t>(ĐVT: 1.000 đồng)</w:t>
            </w:r>
          </w:p>
        </w:tc>
        <w:tc>
          <w:tcPr>
            <w:tcW w:w="2400" w:type="dxa"/>
            <w:vAlign w:val="center"/>
          </w:tcPr>
          <w:p w14:paraId="73033665" w14:textId="77777777" w:rsidR="0040252C" w:rsidRPr="00ED45A1" w:rsidRDefault="0040252C" w:rsidP="00A63743">
            <w:pPr>
              <w:spacing w:after="0" w:line="312" w:lineRule="auto"/>
              <w:jc w:val="center"/>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60</w:t>
            </w:r>
          </w:p>
        </w:tc>
        <w:tc>
          <w:tcPr>
            <w:tcW w:w="2400" w:type="dxa"/>
            <w:vAlign w:val="center"/>
          </w:tcPr>
          <w:p w14:paraId="5D4AB14F" w14:textId="77777777" w:rsidR="0040252C" w:rsidRPr="00ED45A1" w:rsidRDefault="0040252C" w:rsidP="00A63743">
            <w:pPr>
              <w:spacing w:after="0" w:line="312" w:lineRule="auto"/>
              <w:jc w:val="center"/>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80</w:t>
            </w:r>
          </w:p>
        </w:tc>
      </w:tr>
      <w:tr w:rsidR="00ED45A1" w:rsidRPr="00ED45A1" w14:paraId="15692FD7" w14:textId="77777777" w:rsidTr="00A63743">
        <w:trPr>
          <w:jc w:val="center"/>
        </w:trPr>
        <w:tc>
          <w:tcPr>
            <w:tcW w:w="3823" w:type="dxa"/>
            <w:vAlign w:val="center"/>
          </w:tcPr>
          <w:p w14:paraId="1096E84A" w14:textId="22B190DA" w:rsidR="0040252C" w:rsidRPr="00ED45A1" w:rsidRDefault="0040252C" w:rsidP="00D70FD6">
            <w:pPr>
              <w:spacing w:after="0" w:line="312" w:lineRule="auto"/>
              <w:jc w:val="both"/>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Biến phí đơn vị</w:t>
            </w:r>
            <w:r w:rsidR="00A63743" w:rsidRPr="00ED45A1">
              <w:rPr>
                <w:rFonts w:ascii="Times New Roman" w:hAnsi="Times New Roman" w:cs="Times New Roman"/>
                <w:color w:val="000000" w:themeColor="text1"/>
                <w:sz w:val="26"/>
                <w:szCs w:val="26"/>
              </w:rPr>
              <w:t>(ĐVT: 1.000 đồng)</w:t>
            </w:r>
          </w:p>
        </w:tc>
        <w:tc>
          <w:tcPr>
            <w:tcW w:w="2400" w:type="dxa"/>
            <w:vAlign w:val="center"/>
          </w:tcPr>
          <w:p w14:paraId="085A27CB" w14:textId="77777777" w:rsidR="0040252C" w:rsidRPr="00ED45A1" w:rsidRDefault="0040252C" w:rsidP="00A63743">
            <w:pPr>
              <w:spacing w:after="0" w:line="312" w:lineRule="auto"/>
              <w:jc w:val="center"/>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45</w:t>
            </w:r>
          </w:p>
        </w:tc>
        <w:tc>
          <w:tcPr>
            <w:tcW w:w="2400" w:type="dxa"/>
            <w:vAlign w:val="center"/>
          </w:tcPr>
          <w:p w14:paraId="05B5401C" w14:textId="77777777" w:rsidR="0040252C" w:rsidRPr="00ED45A1" w:rsidRDefault="0040252C" w:rsidP="00A63743">
            <w:pPr>
              <w:spacing w:after="0" w:line="312" w:lineRule="auto"/>
              <w:jc w:val="center"/>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50</w:t>
            </w:r>
          </w:p>
        </w:tc>
      </w:tr>
      <w:tr w:rsidR="00ED45A1" w:rsidRPr="00ED45A1" w14:paraId="06871F47" w14:textId="77777777" w:rsidTr="00A63743">
        <w:trPr>
          <w:jc w:val="center"/>
        </w:trPr>
        <w:tc>
          <w:tcPr>
            <w:tcW w:w="3823" w:type="dxa"/>
            <w:vAlign w:val="center"/>
          </w:tcPr>
          <w:p w14:paraId="7F5D1162" w14:textId="77777777" w:rsidR="0040252C" w:rsidRPr="00ED45A1" w:rsidRDefault="0040252C" w:rsidP="00D70FD6">
            <w:pPr>
              <w:spacing w:after="0" w:line="312" w:lineRule="auto"/>
              <w:jc w:val="both"/>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Kết cấu hàng bán</w:t>
            </w:r>
          </w:p>
        </w:tc>
        <w:tc>
          <w:tcPr>
            <w:tcW w:w="2400" w:type="dxa"/>
            <w:vAlign w:val="center"/>
          </w:tcPr>
          <w:p w14:paraId="3070EB57" w14:textId="77777777" w:rsidR="0040252C" w:rsidRPr="00ED45A1" w:rsidRDefault="0040252C" w:rsidP="00A63743">
            <w:pPr>
              <w:spacing w:after="0" w:line="312" w:lineRule="auto"/>
              <w:jc w:val="center"/>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60%</w:t>
            </w:r>
          </w:p>
        </w:tc>
        <w:tc>
          <w:tcPr>
            <w:tcW w:w="2400" w:type="dxa"/>
            <w:vAlign w:val="center"/>
          </w:tcPr>
          <w:p w14:paraId="7701437E" w14:textId="77777777" w:rsidR="0040252C" w:rsidRPr="00ED45A1" w:rsidRDefault="0040252C" w:rsidP="00A63743">
            <w:pPr>
              <w:spacing w:after="0" w:line="312" w:lineRule="auto"/>
              <w:jc w:val="center"/>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40%</w:t>
            </w:r>
          </w:p>
        </w:tc>
      </w:tr>
      <w:tr w:rsidR="00ED45A1" w:rsidRPr="00ED45A1" w14:paraId="5E2332EF" w14:textId="77777777" w:rsidTr="00A63743">
        <w:trPr>
          <w:jc w:val="center"/>
        </w:trPr>
        <w:tc>
          <w:tcPr>
            <w:tcW w:w="3823" w:type="dxa"/>
            <w:vAlign w:val="center"/>
          </w:tcPr>
          <w:p w14:paraId="08C7ACDB" w14:textId="5A7D0732" w:rsidR="0040252C" w:rsidRPr="00ED45A1" w:rsidRDefault="0040252C" w:rsidP="00D70FD6">
            <w:pPr>
              <w:spacing w:after="0" w:line="312" w:lineRule="auto"/>
              <w:jc w:val="both"/>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Định phí</w:t>
            </w:r>
            <w:r w:rsidR="00A63743">
              <w:rPr>
                <w:rFonts w:ascii="Times New Roman" w:hAnsi="Times New Roman" w:cs="Times New Roman"/>
                <w:color w:val="000000" w:themeColor="text1"/>
                <w:sz w:val="26"/>
                <w:szCs w:val="26"/>
              </w:rPr>
              <w:t xml:space="preserve"> </w:t>
            </w:r>
            <w:r w:rsidR="00A63743" w:rsidRPr="00ED45A1">
              <w:rPr>
                <w:rFonts w:ascii="Times New Roman" w:hAnsi="Times New Roman" w:cs="Times New Roman"/>
                <w:color w:val="000000" w:themeColor="text1"/>
                <w:sz w:val="26"/>
                <w:szCs w:val="26"/>
              </w:rPr>
              <w:t>(ĐVT: 1.000 đồng)</w:t>
            </w:r>
          </w:p>
        </w:tc>
        <w:tc>
          <w:tcPr>
            <w:tcW w:w="4800" w:type="dxa"/>
            <w:gridSpan w:val="2"/>
            <w:vAlign w:val="center"/>
          </w:tcPr>
          <w:p w14:paraId="6F3EFAAA" w14:textId="77777777" w:rsidR="0040252C" w:rsidRPr="00ED45A1" w:rsidRDefault="0040252C" w:rsidP="00A63743">
            <w:pPr>
              <w:spacing w:after="0" w:line="312" w:lineRule="auto"/>
              <w:jc w:val="center"/>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2.100.000</w:t>
            </w:r>
          </w:p>
        </w:tc>
      </w:tr>
    </w:tbl>
    <w:p w14:paraId="0765D950" w14:textId="77777777" w:rsidR="0040252C" w:rsidRPr="00ED45A1" w:rsidRDefault="0040252C" w:rsidP="00D70FD6">
      <w:pPr>
        <w:spacing w:after="0" w:line="312" w:lineRule="auto"/>
        <w:ind w:firstLine="567"/>
        <w:jc w:val="both"/>
        <w:rPr>
          <w:rFonts w:ascii="Times New Roman" w:hAnsi="Times New Roman" w:cs="Times New Roman"/>
          <w:color w:val="000000" w:themeColor="text1"/>
          <w:sz w:val="26"/>
          <w:szCs w:val="26"/>
        </w:rPr>
      </w:pPr>
      <w:r w:rsidRPr="00ED45A1">
        <w:rPr>
          <w:rFonts w:ascii="Times New Roman" w:hAnsi="Times New Roman" w:cs="Times New Roman"/>
          <w:b/>
          <w:color w:val="000000" w:themeColor="text1"/>
          <w:sz w:val="26"/>
          <w:szCs w:val="26"/>
        </w:rPr>
        <w:t>Yêu cầu</w:t>
      </w:r>
      <w:r w:rsidRPr="00ED45A1">
        <w:rPr>
          <w:rFonts w:ascii="Times New Roman" w:hAnsi="Times New Roman" w:cs="Times New Roman"/>
          <w:color w:val="000000" w:themeColor="text1"/>
          <w:sz w:val="26"/>
          <w:szCs w:val="26"/>
        </w:rPr>
        <w:t>: Xác định điểm hòa vốn của cả 2 sản phẩm N và M</w:t>
      </w:r>
    </w:p>
    <w:p w14:paraId="3D1EE296" w14:textId="701E2D50" w:rsidR="0040252C" w:rsidRPr="00ED45A1" w:rsidRDefault="0040252C" w:rsidP="00D70FD6">
      <w:pPr>
        <w:spacing w:after="0" w:line="312" w:lineRule="auto"/>
        <w:ind w:firstLine="567"/>
        <w:jc w:val="both"/>
        <w:rPr>
          <w:rFonts w:ascii="Times New Roman" w:hAnsi="Times New Roman" w:cs="Times New Roman"/>
          <w:b/>
          <w:color w:val="000000" w:themeColor="text1"/>
          <w:sz w:val="26"/>
          <w:szCs w:val="26"/>
        </w:rPr>
      </w:pPr>
      <w:r w:rsidRPr="00ED45A1">
        <w:rPr>
          <w:rFonts w:ascii="Times New Roman" w:hAnsi="Times New Roman" w:cs="Times New Roman"/>
          <w:b/>
          <w:color w:val="000000" w:themeColor="text1"/>
          <w:sz w:val="26"/>
          <w:szCs w:val="26"/>
        </w:rPr>
        <w:t>Bước 1: Kết cấu hàng hoá tiêu thụ theo doanh thu</w:t>
      </w:r>
    </w:p>
    <w:p w14:paraId="64E7766C" w14:textId="77777777" w:rsidR="0040252C" w:rsidRPr="00ED45A1" w:rsidRDefault="0040252C" w:rsidP="00D70FD6">
      <w:pPr>
        <w:spacing w:after="0" w:line="312" w:lineRule="auto"/>
        <w:ind w:firstLine="567"/>
        <w:jc w:val="both"/>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Sản phẩm N: t = 60%</w:t>
      </w:r>
    </w:p>
    <w:p w14:paraId="1EB6F696" w14:textId="77777777" w:rsidR="0040252C" w:rsidRPr="00ED45A1" w:rsidRDefault="0040252C" w:rsidP="00D70FD6">
      <w:pPr>
        <w:spacing w:after="0" w:line="312" w:lineRule="auto"/>
        <w:ind w:firstLine="567"/>
        <w:jc w:val="both"/>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Sản phẩm M: t = 40%</w:t>
      </w:r>
    </w:p>
    <w:p w14:paraId="0FCD4EA1" w14:textId="230B240F" w:rsidR="0040252C" w:rsidRPr="00ED45A1" w:rsidRDefault="0040252C" w:rsidP="00D70FD6">
      <w:pPr>
        <w:spacing w:after="0" w:line="312" w:lineRule="auto"/>
        <w:ind w:firstLine="567"/>
        <w:jc w:val="both"/>
        <w:rPr>
          <w:rFonts w:ascii="Times New Roman" w:hAnsi="Times New Roman" w:cs="Times New Roman"/>
          <w:b/>
          <w:color w:val="000000" w:themeColor="text1"/>
          <w:sz w:val="26"/>
          <w:szCs w:val="26"/>
        </w:rPr>
      </w:pPr>
      <w:r w:rsidRPr="00ED45A1">
        <w:rPr>
          <w:rFonts w:ascii="Times New Roman" w:hAnsi="Times New Roman" w:cs="Times New Roman"/>
          <w:b/>
          <w:color w:val="000000" w:themeColor="text1"/>
          <w:sz w:val="26"/>
          <w:szCs w:val="26"/>
        </w:rPr>
        <w:t>Bước 2: Tỷ lệ số dư đảm phí</w:t>
      </w:r>
      <w:r w:rsidR="00CB4D67" w:rsidRPr="00ED45A1">
        <w:rPr>
          <w:rFonts w:ascii="Times New Roman" w:hAnsi="Times New Roman" w:cs="Times New Roman"/>
          <w:b/>
          <w:color w:val="000000" w:themeColor="text1"/>
          <w:sz w:val="26"/>
          <w:szCs w:val="26"/>
        </w:rPr>
        <w:t xml:space="preserve"> từng SP</w:t>
      </w:r>
    </w:p>
    <w:p w14:paraId="524E38B9" w14:textId="5052DA3C" w:rsidR="0040252C" w:rsidRPr="00ED45A1" w:rsidRDefault="0040252C" w:rsidP="00D70FD6">
      <w:pPr>
        <w:spacing w:after="0" w:line="312" w:lineRule="auto"/>
        <w:ind w:firstLine="567"/>
        <w:jc w:val="both"/>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 xml:space="preserve">Sản phẩm N: </w:t>
      </w:r>
      <m:oMath>
        <m:r>
          <w:rPr>
            <w:rFonts w:ascii="Cambria Math" w:hAnsi="Cambria Math" w:cs="Times New Roman"/>
            <w:color w:val="000000" w:themeColor="text1"/>
            <w:sz w:val="26"/>
            <w:szCs w:val="26"/>
          </w:rPr>
          <m:t>Rcm=25%</m:t>
        </m:r>
      </m:oMath>
    </w:p>
    <w:p w14:paraId="345BF68A" w14:textId="1558FD39" w:rsidR="0040252C" w:rsidRPr="00ED45A1" w:rsidRDefault="0040252C" w:rsidP="00D70FD6">
      <w:pPr>
        <w:spacing w:after="0" w:line="312" w:lineRule="auto"/>
        <w:ind w:firstLine="567"/>
        <w:jc w:val="both"/>
        <w:rPr>
          <w:rFonts w:ascii="Times New Roman" w:hAnsi="Times New Roman" w:cs="Times New Roman"/>
          <w:b/>
          <w:color w:val="000000" w:themeColor="text1"/>
          <w:sz w:val="26"/>
          <w:szCs w:val="26"/>
        </w:rPr>
      </w:pPr>
      <w:r w:rsidRPr="00ED45A1">
        <w:rPr>
          <w:rFonts w:ascii="Times New Roman" w:hAnsi="Times New Roman" w:cs="Times New Roman"/>
          <w:color w:val="000000" w:themeColor="text1"/>
          <w:sz w:val="26"/>
          <w:szCs w:val="26"/>
        </w:rPr>
        <w:t xml:space="preserve">Sản phẩm M: </w:t>
      </w:r>
      <m:oMath>
        <m:r>
          <w:rPr>
            <w:rFonts w:ascii="Cambria Math" w:hAnsi="Cambria Math" w:cs="Times New Roman"/>
            <w:color w:val="000000" w:themeColor="text1"/>
            <w:sz w:val="26"/>
            <w:szCs w:val="26"/>
          </w:rPr>
          <m:t>Rcm=37,5%</m:t>
        </m:r>
      </m:oMath>
    </w:p>
    <w:p w14:paraId="5A8DBFAA" w14:textId="16D1B0BD" w:rsidR="0040252C" w:rsidRPr="00ED45A1" w:rsidRDefault="0040252C" w:rsidP="00D70FD6">
      <w:pPr>
        <w:spacing w:after="0" w:line="312" w:lineRule="auto"/>
        <w:ind w:firstLine="567"/>
        <w:jc w:val="both"/>
        <w:rPr>
          <w:rFonts w:ascii="Times New Roman" w:hAnsi="Times New Roman" w:cs="Times New Roman"/>
          <w:b/>
          <w:color w:val="000000" w:themeColor="text1"/>
          <w:sz w:val="26"/>
          <w:szCs w:val="26"/>
        </w:rPr>
      </w:pPr>
      <w:r w:rsidRPr="00ED45A1">
        <w:rPr>
          <w:rFonts w:ascii="Times New Roman" w:hAnsi="Times New Roman" w:cs="Times New Roman"/>
          <w:b/>
          <w:color w:val="000000" w:themeColor="text1"/>
          <w:sz w:val="26"/>
          <w:szCs w:val="26"/>
        </w:rPr>
        <w:t>Bước 3: Tỷ lệ số dư đảm phí bình quân</w:t>
      </w:r>
    </w:p>
    <w:p w14:paraId="11B3A36B" w14:textId="3536AC6C" w:rsidR="00261E20" w:rsidRDefault="0040252C" w:rsidP="00D70FD6">
      <w:pPr>
        <w:spacing w:after="0" w:line="312" w:lineRule="auto"/>
        <w:ind w:firstLine="567"/>
        <w:jc w:val="both"/>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 xml:space="preserve">   Rcm bình quân  = </w:t>
      </w:r>
      <w:r w:rsidRPr="00ED45A1">
        <w:rPr>
          <w:rFonts w:ascii="Times New Roman" w:hAnsi="Times New Roman" w:cs="Times New Roman"/>
          <w:color w:val="000000" w:themeColor="text1"/>
          <w:sz w:val="26"/>
          <w:szCs w:val="26"/>
        </w:rPr>
        <w:sym w:font="Symbol" w:char="F0E5"/>
      </w:r>
      <w:r w:rsidRPr="00ED45A1">
        <w:rPr>
          <w:rFonts w:ascii="Times New Roman" w:hAnsi="Times New Roman" w:cs="Times New Roman"/>
          <w:color w:val="000000" w:themeColor="text1"/>
          <w:sz w:val="26"/>
          <w:szCs w:val="26"/>
        </w:rPr>
        <w:t>(Rcmi</w:t>
      </w:r>
      <w:r w:rsidR="00261E20">
        <w:rPr>
          <w:rFonts w:ascii="Times New Roman" w:hAnsi="Times New Roman" w:cs="Times New Roman"/>
          <w:color w:val="000000" w:themeColor="text1"/>
          <w:sz w:val="26"/>
          <w:szCs w:val="26"/>
        </w:rPr>
        <w:t xml:space="preserve"> </w:t>
      </w:r>
      <w:r w:rsidRPr="00ED45A1">
        <w:rPr>
          <w:rFonts w:ascii="Times New Roman" w:hAnsi="Times New Roman" w:cs="Times New Roman"/>
          <w:color w:val="000000" w:themeColor="text1"/>
          <w:sz w:val="26"/>
          <w:szCs w:val="26"/>
        </w:rPr>
        <w:t>*</w:t>
      </w:r>
      <w:r w:rsidR="00261E20">
        <w:rPr>
          <w:rFonts w:ascii="Times New Roman" w:hAnsi="Times New Roman" w:cs="Times New Roman"/>
          <w:color w:val="000000" w:themeColor="text1"/>
          <w:sz w:val="26"/>
          <w:szCs w:val="26"/>
        </w:rPr>
        <w:t xml:space="preserve"> </w:t>
      </w:r>
      <w:r w:rsidRPr="00ED45A1">
        <w:rPr>
          <w:rFonts w:ascii="Times New Roman" w:hAnsi="Times New Roman" w:cs="Times New Roman"/>
          <w:color w:val="000000" w:themeColor="text1"/>
          <w:sz w:val="26"/>
          <w:szCs w:val="26"/>
        </w:rPr>
        <w:t xml:space="preserve">kết cấu từng sản phẩm) </w:t>
      </w:r>
    </w:p>
    <w:p w14:paraId="0AFECF1A" w14:textId="67201571" w:rsidR="0040252C" w:rsidRPr="00ED45A1" w:rsidRDefault="00261E20" w:rsidP="00D70FD6">
      <w:pPr>
        <w:spacing w:after="0" w:line="312"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40252C" w:rsidRPr="00ED45A1">
        <w:rPr>
          <w:rFonts w:ascii="Times New Roman" w:hAnsi="Times New Roman" w:cs="Times New Roman"/>
          <w:color w:val="000000" w:themeColor="text1"/>
          <w:sz w:val="26"/>
          <w:szCs w:val="26"/>
        </w:rPr>
        <w:t>= (25%*60%) + (37,5%*40%) = 30%</w:t>
      </w:r>
    </w:p>
    <w:p w14:paraId="6C5BD2F6" w14:textId="43F9BFF2" w:rsidR="0040252C" w:rsidRPr="00ED45A1" w:rsidRDefault="0040252C" w:rsidP="00D70FD6">
      <w:pPr>
        <w:spacing w:after="0" w:line="312" w:lineRule="auto"/>
        <w:ind w:firstLine="567"/>
        <w:jc w:val="both"/>
        <w:rPr>
          <w:rFonts w:ascii="Times New Roman" w:hAnsi="Times New Roman" w:cs="Times New Roman"/>
          <w:b/>
          <w:color w:val="000000" w:themeColor="text1"/>
          <w:sz w:val="26"/>
          <w:szCs w:val="26"/>
        </w:rPr>
      </w:pPr>
      <w:r w:rsidRPr="00ED45A1">
        <w:rPr>
          <w:rFonts w:ascii="Times New Roman" w:hAnsi="Times New Roman" w:cs="Times New Roman"/>
          <w:b/>
          <w:color w:val="000000" w:themeColor="text1"/>
          <w:sz w:val="26"/>
          <w:szCs w:val="26"/>
        </w:rPr>
        <w:t xml:space="preserve">Bước </w:t>
      </w:r>
      <w:r w:rsidR="00CB4D67" w:rsidRPr="00ED45A1">
        <w:rPr>
          <w:rFonts w:ascii="Times New Roman" w:hAnsi="Times New Roman" w:cs="Times New Roman"/>
          <w:b/>
          <w:color w:val="000000" w:themeColor="text1"/>
          <w:sz w:val="26"/>
          <w:szCs w:val="26"/>
        </w:rPr>
        <w:t>4</w:t>
      </w:r>
      <w:r w:rsidRPr="00ED45A1">
        <w:rPr>
          <w:rFonts w:ascii="Times New Roman" w:hAnsi="Times New Roman" w:cs="Times New Roman"/>
          <w:b/>
          <w:color w:val="000000" w:themeColor="text1"/>
          <w:sz w:val="26"/>
          <w:szCs w:val="26"/>
        </w:rPr>
        <w:t>: Tính doanh thu hoà vốn chung</w:t>
      </w:r>
    </w:p>
    <w:p w14:paraId="19B92241" w14:textId="1FCA0008" w:rsidR="0040252C" w:rsidRPr="00ED45A1" w:rsidRDefault="008E6C43" w:rsidP="00D70FD6">
      <w:pPr>
        <w:spacing w:after="0" w:line="312" w:lineRule="auto"/>
        <w:ind w:firstLine="567"/>
        <w:jc w:val="both"/>
        <w:rPr>
          <w:rFonts w:ascii="Times New Roman" w:hAnsi="Times New Roman" w:cs="Times New Roman"/>
          <w:color w:val="000000" w:themeColor="text1"/>
          <w:sz w:val="26"/>
          <w:szCs w:val="26"/>
        </w:rPr>
      </w:pPr>
      <m:oMathPara>
        <m:oMath>
          <m:sSub>
            <m:sSubPr>
              <m:ctrlPr>
                <w:rPr>
                  <w:rFonts w:ascii="Cambria Math" w:eastAsia="Calibri" w:hAnsi="Cambria Math" w:cs="Times New Roman"/>
                  <w:i/>
                  <w:color w:val="000000" w:themeColor="text1"/>
                  <w:sz w:val="26"/>
                  <w:szCs w:val="26"/>
                </w:rPr>
              </m:ctrlPr>
            </m:sSubPr>
            <m:e>
              <m:r>
                <w:rPr>
                  <w:rFonts w:ascii="Cambria Math" w:hAnsi="Cambria Math" w:cs="Times New Roman"/>
                  <w:color w:val="000000" w:themeColor="text1"/>
                  <w:sz w:val="26"/>
                  <w:szCs w:val="26"/>
                </w:rPr>
                <m:t>S</m:t>
              </m:r>
            </m:e>
            <m:sub>
              <m:r>
                <w:rPr>
                  <w:rFonts w:ascii="Cambria Math" w:hAnsi="Cambria Math" w:cs="Times New Roman"/>
                  <w:color w:val="000000" w:themeColor="text1"/>
                  <w:sz w:val="26"/>
                  <w:szCs w:val="26"/>
                </w:rPr>
                <m:t>0</m:t>
              </m:r>
            </m:sub>
          </m:sSub>
          <m:r>
            <w:rPr>
              <w:rFonts w:ascii="Cambria Math" w:hAnsi="Cambria Math" w:cs="Times New Roman"/>
              <w:color w:val="000000" w:themeColor="text1"/>
              <w:sz w:val="26"/>
              <w:szCs w:val="26"/>
            </w:rPr>
            <m:t>chung=</m:t>
          </m:r>
          <m:f>
            <m:fPr>
              <m:ctrlPr>
                <w:rPr>
                  <w:rFonts w:ascii="Cambria Math" w:eastAsia="Calibri" w:hAnsi="Cambria Math" w:cs="Times New Roman"/>
                  <w:i/>
                  <w:color w:val="000000" w:themeColor="text1"/>
                  <w:sz w:val="26"/>
                  <w:szCs w:val="26"/>
                </w:rPr>
              </m:ctrlPr>
            </m:fPr>
            <m:num>
              <m:r>
                <w:rPr>
                  <w:rFonts w:ascii="Cambria Math" w:hAnsi="Cambria Math" w:cs="Times New Roman"/>
                  <w:color w:val="000000" w:themeColor="text1"/>
                  <w:sz w:val="26"/>
                  <w:szCs w:val="26"/>
                </w:rPr>
                <m:t>FC</m:t>
              </m:r>
            </m:num>
            <m:den>
              <m:r>
                <m:rPr>
                  <m:sty m:val="p"/>
                </m:rPr>
                <w:rPr>
                  <w:rFonts w:ascii="Cambria Math" w:hAnsi="Cambria Math" w:cs="Times New Roman"/>
                  <w:color w:val="000000" w:themeColor="text1"/>
                  <w:sz w:val="26"/>
                  <w:szCs w:val="26"/>
                </w:rPr>
                <m:t>Tỷ lệ số dư đảm phí bình quân</m:t>
              </m:r>
            </m:den>
          </m:f>
          <m:r>
            <w:rPr>
              <w:rFonts w:ascii="Cambria Math" w:hAnsi="Cambria Math" w:cs="Times New Roman"/>
              <w:color w:val="000000" w:themeColor="text1"/>
              <w:sz w:val="26"/>
              <w:szCs w:val="26"/>
            </w:rPr>
            <m:t>=7.000.000</m:t>
          </m:r>
        </m:oMath>
      </m:oMathPara>
    </w:p>
    <w:p w14:paraId="6E63C6E4" w14:textId="7975C449" w:rsidR="0040252C" w:rsidRPr="00ED45A1" w:rsidRDefault="0040252C" w:rsidP="00D70FD6">
      <w:pPr>
        <w:spacing w:after="0" w:line="312" w:lineRule="auto"/>
        <w:ind w:firstLine="567"/>
        <w:jc w:val="both"/>
        <w:rPr>
          <w:rFonts w:ascii="Times New Roman" w:hAnsi="Times New Roman" w:cs="Times New Roman"/>
          <w:b/>
          <w:color w:val="000000" w:themeColor="text1"/>
          <w:sz w:val="26"/>
          <w:szCs w:val="26"/>
        </w:rPr>
      </w:pPr>
      <w:r w:rsidRPr="00ED45A1">
        <w:rPr>
          <w:rFonts w:ascii="Times New Roman" w:hAnsi="Times New Roman" w:cs="Times New Roman"/>
          <w:b/>
          <w:color w:val="000000" w:themeColor="text1"/>
          <w:sz w:val="26"/>
          <w:szCs w:val="26"/>
        </w:rPr>
        <w:t xml:space="preserve">Bước </w:t>
      </w:r>
      <w:r w:rsidR="00CB4D67" w:rsidRPr="00ED45A1">
        <w:rPr>
          <w:rFonts w:ascii="Times New Roman" w:hAnsi="Times New Roman" w:cs="Times New Roman"/>
          <w:b/>
          <w:color w:val="000000" w:themeColor="text1"/>
          <w:sz w:val="26"/>
          <w:szCs w:val="26"/>
        </w:rPr>
        <w:t>5</w:t>
      </w:r>
      <w:r w:rsidRPr="00ED45A1">
        <w:rPr>
          <w:rFonts w:ascii="Times New Roman" w:hAnsi="Times New Roman" w:cs="Times New Roman"/>
          <w:b/>
          <w:color w:val="000000" w:themeColor="text1"/>
          <w:sz w:val="26"/>
          <w:szCs w:val="26"/>
        </w:rPr>
        <w:t>: Tính doanh thu hoà vốn và sản lượng hoà vốn từng sản phẩm</w:t>
      </w:r>
    </w:p>
    <w:p w14:paraId="04D20A46" w14:textId="15A6FD7A" w:rsidR="0040252C" w:rsidRPr="00ED45A1" w:rsidRDefault="0040252C" w:rsidP="00D70FD6">
      <w:pPr>
        <w:spacing w:after="0" w:line="312" w:lineRule="auto"/>
        <w:ind w:firstLine="567"/>
        <w:jc w:val="both"/>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Sản phẩm N: S0 = 7.000.000</w:t>
      </w:r>
      <w:r w:rsidR="00B018A7">
        <w:rPr>
          <w:rFonts w:ascii="Times New Roman" w:hAnsi="Times New Roman" w:cs="Times New Roman"/>
          <w:color w:val="000000" w:themeColor="text1"/>
          <w:sz w:val="26"/>
          <w:szCs w:val="26"/>
        </w:rPr>
        <w:t xml:space="preserve"> </w:t>
      </w:r>
      <w:r w:rsidRPr="00ED45A1">
        <w:rPr>
          <w:rFonts w:ascii="Times New Roman" w:hAnsi="Times New Roman" w:cs="Times New Roman"/>
          <w:color w:val="000000" w:themeColor="text1"/>
          <w:sz w:val="26"/>
          <w:szCs w:val="26"/>
        </w:rPr>
        <w:t>*</w:t>
      </w:r>
      <w:r w:rsidR="00B018A7">
        <w:rPr>
          <w:rFonts w:ascii="Times New Roman" w:hAnsi="Times New Roman" w:cs="Times New Roman"/>
          <w:color w:val="000000" w:themeColor="text1"/>
          <w:sz w:val="26"/>
          <w:szCs w:val="26"/>
        </w:rPr>
        <w:t xml:space="preserve"> </w:t>
      </w:r>
      <w:r w:rsidRPr="00ED45A1">
        <w:rPr>
          <w:rFonts w:ascii="Times New Roman" w:hAnsi="Times New Roman" w:cs="Times New Roman"/>
          <w:color w:val="000000" w:themeColor="text1"/>
          <w:sz w:val="26"/>
          <w:szCs w:val="26"/>
        </w:rPr>
        <w:t xml:space="preserve">60%= 4.200.000 </w:t>
      </w:r>
    </w:p>
    <w:p w14:paraId="08E0D335" w14:textId="256B44D5" w:rsidR="0040252C" w:rsidRPr="00ED45A1" w:rsidRDefault="0040252C" w:rsidP="00D70FD6">
      <w:pPr>
        <w:spacing w:after="0" w:line="312" w:lineRule="auto"/>
        <w:ind w:firstLine="567"/>
        <w:jc w:val="both"/>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ab/>
        <w:t xml:space="preserve">         </w:t>
      </w:r>
      <w:r w:rsidR="00CB4D67" w:rsidRPr="00ED45A1">
        <w:rPr>
          <w:rFonts w:ascii="Times New Roman" w:hAnsi="Times New Roman" w:cs="Times New Roman"/>
          <w:color w:val="000000" w:themeColor="text1"/>
          <w:sz w:val="26"/>
          <w:szCs w:val="26"/>
        </w:rPr>
        <w:t xml:space="preserve">            </w:t>
      </w:r>
      <w:r w:rsidRPr="00ED45A1">
        <w:rPr>
          <w:rFonts w:ascii="Times New Roman" w:hAnsi="Times New Roman" w:cs="Times New Roman"/>
          <w:color w:val="000000" w:themeColor="text1"/>
          <w:sz w:val="26"/>
          <w:szCs w:val="26"/>
        </w:rPr>
        <w:t xml:space="preserve"> Q0 = S0/P = 70.000 sp</w:t>
      </w:r>
    </w:p>
    <w:p w14:paraId="34135F70" w14:textId="510A8044" w:rsidR="0040252C" w:rsidRPr="00ED45A1" w:rsidRDefault="0040252C" w:rsidP="00D70FD6">
      <w:pPr>
        <w:spacing w:after="0" w:line="312" w:lineRule="auto"/>
        <w:ind w:firstLine="567"/>
        <w:jc w:val="both"/>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 xml:space="preserve">Sản phẩm M: S0 = 2.800.000 </w:t>
      </w:r>
    </w:p>
    <w:p w14:paraId="415302C7" w14:textId="652BF686" w:rsidR="00261E20" w:rsidRDefault="0040252C" w:rsidP="0068563A">
      <w:pPr>
        <w:spacing w:after="0" w:line="312" w:lineRule="auto"/>
        <w:ind w:firstLine="567"/>
        <w:jc w:val="both"/>
        <w:rPr>
          <w:rFonts w:ascii="Times New Roman" w:hAnsi="Times New Roman" w:cs="Times New Roman"/>
          <w:color w:val="000000" w:themeColor="text1"/>
          <w:sz w:val="26"/>
          <w:szCs w:val="26"/>
        </w:rPr>
      </w:pPr>
      <w:r w:rsidRPr="00ED45A1">
        <w:rPr>
          <w:rFonts w:ascii="Times New Roman" w:hAnsi="Times New Roman" w:cs="Times New Roman"/>
          <w:color w:val="000000" w:themeColor="text1"/>
          <w:sz w:val="26"/>
          <w:szCs w:val="26"/>
        </w:rPr>
        <w:tab/>
      </w:r>
      <w:r w:rsidRPr="00ED45A1">
        <w:rPr>
          <w:rFonts w:ascii="Times New Roman" w:hAnsi="Times New Roman" w:cs="Times New Roman"/>
          <w:color w:val="000000" w:themeColor="text1"/>
          <w:sz w:val="26"/>
          <w:szCs w:val="26"/>
        </w:rPr>
        <w:tab/>
      </w:r>
      <w:r w:rsidR="00CB4D67" w:rsidRPr="00ED45A1">
        <w:rPr>
          <w:rFonts w:ascii="Times New Roman" w:hAnsi="Times New Roman" w:cs="Times New Roman"/>
          <w:color w:val="000000" w:themeColor="text1"/>
          <w:sz w:val="26"/>
          <w:szCs w:val="26"/>
        </w:rPr>
        <w:t xml:space="preserve">        </w:t>
      </w:r>
      <w:r w:rsidR="001E218F">
        <w:rPr>
          <w:rFonts w:ascii="Times New Roman" w:hAnsi="Times New Roman" w:cs="Times New Roman"/>
          <w:color w:val="000000" w:themeColor="text1"/>
          <w:sz w:val="26"/>
          <w:szCs w:val="26"/>
        </w:rPr>
        <w:t xml:space="preserve"> </w:t>
      </w:r>
      <w:r w:rsidRPr="00ED45A1">
        <w:rPr>
          <w:rFonts w:ascii="Times New Roman" w:hAnsi="Times New Roman" w:cs="Times New Roman"/>
          <w:color w:val="000000" w:themeColor="text1"/>
          <w:sz w:val="26"/>
          <w:szCs w:val="26"/>
        </w:rPr>
        <w:t>Q0= 35.000</w:t>
      </w:r>
      <w:r w:rsidR="0068563A">
        <w:rPr>
          <w:rFonts w:ascii="Times New Roman" w:hAnsi="Times New Roman" w:cs="Times New Roman"/>
          <w:color w:val="000000" w:themeColor="text1"/>
          <w:sz w:val="26"/>
          <w:szCs w:val="26"/>
        </w:rPr>
        <w:t xml:space="preserve"> </w:t>
      </w:r>
      <w:r w:rsidRPr="00ED45A1">
        <w:rPr>
          <w:rFonts w:ascii="Times New Roman" w:hAnsi="Times New Roman" w:cs="Times New Roman"/>
          <w:color w:val="000000" w:themeColor="text1"/>
          <w:sz w:val="26"/>
          <w:szCs w:val="26"/>
        </w:rPr>
        <w:t>sp</w:t>
      </w:r>
    </w:p>
    <w:p w14:paraId="37628E28" w14:textId="58D01218" w:rsidR="00261E20" w:rsidRPr="00261E20" w:rsidRDefault="00261E20" w:rsidP="00261E20">
      <w:pPr>
        <w:spacing w:after="0" w:line="312" w:lineRule="auto"/>
        <w:jc w:val="both"/>
        <w:rPr>
          <w:rFonts w:ascii="Times New Roman" w:hAnsi="Times New Roman" w:cs="Times New Roman"/>
          <w:color w:val="000000" w:themeColor="text1"/>
          <w:sz w:val="26"/>
          <w:szCs w:val="26"/>
        </w:rPr>
      </w:pPr>
      <w:r w:rsidRPr="00261E20">
        <w:rPr>
          <w:rFonts w:ascii="Times New Roman" w:hAnsi="Times New Roman" w:cs="Times New Roman"/>
          <w:color w:val="000000" w:themeColor="text1"/>
          <w:sz w:val="26"/>
          <w:szCs w:val="26"/>
        </w:rPr>
        <w:t>Việc nắm chắc công thức xác định điểm hòa vốn sẽ giúp chúng ta làm tốt một số việc như:</w:t>
      </w:r>
    </w:p>
    <w:p w14:paraId="5AF4533F" w14:textId="77777777" w:rsidR="00261E20" w:rsidRPr="00261E20" w:rsidRDefault="00261E20" w:rsidP="00261E20">
      <w:pPr>
        <w:spacing w:after="0" w:line="312" w:lineRule="auto"/>
        <w:ind w:firstLine="567"/>
        <w:jc w:val="both"/>
        <w:rPr>
          <w:rFonts w:ascii="Times New Roman" w:hAnsi="Times New Roman" w:cs="Times New Roman"/>
          <w:color w:val="000000" w:themeColor="text1"/>
          <w:sz w:val="26"/>
          <w:szCs w:val="26"/>
        </w:rPr>
      </w:pPr>
      <w:r w:rsidRPr="00261E20">
        <w:rPr>
          <w:rFonts w:ascii="Times New Roman" w:hAnsi="Times New Roman" w:cs="Times New Roman"/>
          <w:color w:val="000000" w:themeColor="text1"/>
          <w:sz w:val="26"/>
          <w:szCs w:val="26"/>
        </w:rPr>
        <w:t>1. Xác định giá bán hợp lý để nâng cao sức cạnh tranh với các đối thủ trên thị trường;</w:t>
      </w:r>
    </w:p>
    <w:p w14:paraId="6A2A72FF" w14:textId="119597AE" w:rsidR="00261E20" w:rsidRPr="00261E20" w:rsidRDefault="00261E20" w:rsidP="00261E20">
      <w:pPr>
        <w:spacing w:after="0" w:line="312" w:lineRule="auto"/>
        <w:ind w:firstLine="567"/>
        <w:jc w:val="both"/>
        <w:rPr>
          <w:rFonts w:ascii="Times New Roman" w:hAnsi="Times New Roman" w:cs="Times New Roman"/>
          <w:color w:val="000000" w:themeColor="text1"/>
          <w:sz w:val="26"/>
          <w:szCs w:val="26"/>
        </w:rPr>
      </w:pPr>
      <w:r w:rsidRPr="00261E20">
        <w:rPr>
          <w:rFonts w:ascii="Times New Roman" w:hAnsi="Times New Roman" w:cs="Times New Roman"/>
          <w:color w:val="000000" w:themeColor="text1"/>
          <w:sz w:val="26"/>
          <w:szCs w:val="26"/>
        </w:rPr>
        <w:t>2. Xác định thời điểm để bán giảm giá hoặc giữ giá hoặc tăng giá; việc này chúng ta có thể thấy được rõ nét trên các chương trình “sale off “ của rất nhiều siêu thị và nhà cung cấp trên thị trường</w:t>
      </w:r>
      <w:r w:rsidR="000349E4">
        <w:rPr>
          <w:rFonts w:ascii="Times New Roman" w:hAnsi="Times New Roman" w:cs="Times New Roman"/>
          <w:color w:val="000000" w:themeColor="text1"/>
          <w:sz w:val="26"/>
          <w:szCs w:val="26"/>
        </w:rPr>
        <w:t>.</w:t>
      </w:r>
    </w:p>
    <w:p w14:paraId="798A9C0A" w14:textId="44AF7898" w:rsidR="00261E20" w:rsidRPr="00261E20" w:rsidRDefault="00261E20" w:rsidP="00261E20">
      <w:pPr>
        <w:spacing w:after="0" w:line="312" w:lineRule="auto"/>
        <w:ind w:firstLine="567"/>
        <w:jc w:val="both"/>
        <w:rPr>
          <w:rFonts w:ascii="Times New Roman" w:hAnsi="Times New Roman" w:cs="Times New Roman"/>
          <w:color w:val="000000" w:themeColor="text1"/>
          <w:sz w:val="26"/>
          <w:szCs w:val="26"/>
        </w:rPr>
      </w:pPr>
      <w:r w:rsidRPr="00261E20">
        <w:rPr>
          <w:rFonts w:ascii="Times New Roman" w:hAnsi="Times New Roman" w:cs="Times New Roman"/>
          <w:color w:val="000000" w:themeColor="text1"/>
          <w:sz w:val="26"/>
          <w:szCs w:val="26"/>
        </w:rPr>
        <w:t>3. Xác định chu kỳ vốn để tái đầu tư</w:t>
      </w:r>
      <w:r w:rsidR="000A2C66">
        <w:rPr>
          <w:rFonts w:ascii="Times New Roman" w:hAnsi="Times New Roman" w:cs="Times New Roman"/>
          <w:color w:val="000000" w:themeColor="text1"/>
          <w:sz w:val="26"/>
          <w:szCs w:val="26"/>
        </w:rPr>
        <w:t>.</w:t>
      </w:r>
    </w:p>
    <w:p w14:paraId="5591320E" w14:textId="289E60E4" w:rsidR="00261E20" w:rsidRDefault="00261E20" w:rsidP="00CE14C9">
      <w:pPr>
        <w:spacing w:after="0" w:line="312" w:lineRule="auto"/>
        <w:jc w:val="both"/>
        <w:rPr>
          <w:rFonts w:ascii="Times New Roman" w:hAnsi="Times New Roman" w:cs="Times New Roman"/>
          <w:color w:val="000000" w:themeColor="text1"/>
          <w:sz w:val="26"/>
          <w:szCs w:val="26"/>
        </w:rPr>
      </w:pPr>
      <w:r w:rsidRPr="00261E20">
        <w:rPr>
          <w:rFonts w:ascii="Times New Roman" w:hAnsi="Times New Roman" w:cs="Times New Roman"/>
          <w:color w:val="000000" w:themeColor="text1"/>
          <w:sz w:val="26"/>
          <w:szCs w:val="26"/>
        </w:rPr>
        <w:t>Ngoài việc giúp doanh nghiệp đưa ra các phương án và quyết sách trong bán hàng, công thức này cũng giúp chúng ta hiểu sâu hơn, có phương thức chọn lựa tốt hơn khi so sánh các phương án kinh doanh.</w:t>
      </w:r>
    </w:p>
    <w:p w14:paraId="3F102DD3" w14:textId="5DF357AD" w:rsidR="000A2C66" w:rsidRPr="00861964" w:rsidRDefault="009D179E" w:rsidP="00261E20">
      <w:pPr>
        <w:spacing w:after="0" w:line="312" w:lineRule="auto"/>
        <w:jc w:val="both"/>
        <w:rPr>
          <w:rFonts w:ascii="Times New Roman" w:hAnsi="Times New Roman" w:cs="Times New Roman"/>
          <w:b/>
          <w:bCs/>
          <w:color w:val="000000" w:themeColor="text1"/>
          <w:sz w:val="26"/>
          <w:szCs w:val="26"/>
        </w:rPr>
      </w:pPr>
      <w:r w:rsidRPr="00861964">
        <w:rPr>
          <w:rFonts w:ascii="Times New Roman" w:hAnsi="Times New Roman" w:cs="Times New Roman"/>
          <w:b/>
          <w:bCs/>
          <w:color w:val="000000" w:themeColor="text1"/>
          <w:sz w:val="26"/>
          <w:szCs w:val="26"/>
        </w:rPr>
        <w:t>KẾT LUẬN</w:t>
      </w:r>
    </w:p>
    <w:p w14:paraId="5B7768A7" w14:textId="7DE30A0D" w:rsidR="009D179E" w:rsidRDefault="00861964" w:rsidP="00261E20">
      <w:pPr>
        <w:spacing w:after="0" w:line="312" w:lineRule="auto"/>
        <w:jc w:val="both"/>
        <w:rPr>
          <w:rFonts w:ascii="Times New Roman" w:hAnsi="Times New Roman" w:cs="Times New Roman"/>
          <w:color w:val="000000" w:themeColor="text1"/>
          <w:spacing w:val="4"/>
          <w:sz w:val="26"/>
          <w:szCs w:val="26"/>
          <w:shd w:val="clear" w:color="auto" w:fill="FFFFFF"/>
        </w:rPr>
      </w:pPr>
      <w:r w:rsidRPr="00C14CE0">
        <w:rPr>
          <w:rFonts w:ascii="Times New Roman" w:hAnsi="Times New Roman" w:cs="Times New Roman"/>
          <w:color w:val="000000" w:themeColor="text1"/>
          <w:spacing w:val="4"/>
          <w:sz w:val="26"/>
          <w:szCs w:val="26"/>
          <w:shd w:val="clear" w:color="auto" w:fill="FFFFFF"/>
        </w:rPr>
        <w:t xml:space="preserve">       </w:t>
      </w:r>
      <w:r w:rsidR="00C14CE0" w:rsidRPr="00C14CE0">
        <w:rPr>
          <w:rStyle w:val="Strong"/>
          <w:rFonts w:ascii="Arial" w:hAnsi="Arial" w:cs="Arial"/>
          <w:color w:val="000000" w:themeColor="text1"/>
          <w:sz w:val="26"/>
          <w:szCs w:val="26"/>
          <w:shd w:val="clear" w:color="auto" w:fill="FFFFFF"/>
        </w:rPr>
        <w:t> </w:t>
      </w:r>
      <w:r w:rsidR="00C14CE0" w:rsidRPr="00C14CE0">
        <w:rPr>
          <w:rStyle w:val="Strong"/>
          <w:rFonts w:ascii="Times New Roman" w:hAnsi="Times New Roman" w:cs="Times New Roman"/>
          <w:b w:val="0"/>
          <w:bCs w:val="0"/>
          <w:color w:val="000000" w:themeColor="text1"/>
          <w:sz w:val="26"/>
          <w:szCs w:val="26"/>
          <w:shd w:val="clear" w:color="auto" w:fill="FFFFFF"/>
        </w:rPr>
        <w:t>Phân tích Điểm hòa vốn, một công cụ hữu ích để nghiên cứu mối quan hệ giữa chi phí cố định với chi phí biến đổi và doanh thu.Nó liên kết chặt chẽ với khái niệm Điểm hòa vốn là điểm cho biết tại thời điểm nào một khoản đầu tư sẽ bắt đầu đem lại lợi nhuận dương</w:t>
      </w:r>
      <w:r w:rsidR="00C14CE0" w:rsidRPr="00C14CE0">
        <w:rPr>
          <w:rStyle w:val="Strong"/>
          <w:rFonts w:ascii="Arial" w:hAnsi="Arial" w:cs="Arial"/>
          <w:color w:val="000000" w:themeColor="text1"/>
          <w:sz w:val="26"/>
          <w:szCs w:val="26"/>
          <w:shd w:val="clear" w:color="auto" w:fill="FFFFFF"/>
        </w:rPr>
        <w:t>.</w:t>
      </w:r>
      <w:r w:rsidR="00C14CE0" w:rsidRPr="00C14CE0">
        <w:rPr>
          <w:rFonts w:ascii="Times New Roman" w:hAnsi="Times New Roman" w:cs="Times New Roman"/>
          <w:color w:val="000000" w:themeColor="text1"/>
          <w:spacing w:val="4"/>
          <w:sz w:val="26"/>
          <w:szCs w:val="26"/>
          <w:shd w:val="clear" w:color="auto" w:fill="FFFFFF"/>
        </w:rPr>
        <w:t xml:space="preserve"> Phân tích hòa vốn mang lại giá trị cao trong việc quyết định phương án sản xuất, đầu tư nào là tối ưu cho doanh nghiệp. Chủ doanh nghiệp có thể sử dụng dữ liệu điểm hoàn vốn để xác định mức đầu tư cần thiết cho sản xuất.</w:t>
      </w:r>
    </w:p>
    <w:p w14:paraId="0A05850B" w14:textId="5707BB6D" w:rsidR="001C4BC7" w:rsidRPr="006D6496" w:rsidRDefault="001C4BC7" w:rsidP="00261E20">
      <w:pPr>
        <w:spacing w:after="0" w:line="312" w:lineRule="auto"/>
        <w:jc w:val="both"/>
        <w:rPr>
          <w:rFonts w:ascii="Times New Roman" w:hAnsi="Times New Roman" w:cs="Times New Roman"/>
          <w:b/>
          <w:bCs/>
          <w:color w:val="000000" w:themeColor="text1"/>
          <w:spacing w:val="4"/>
          <w:sz w:val="26"/>
          <w:szCs w:val="26"/>
          <w:shd w:val="clear" w:color="auto" w:fill="FFFFFF"/>
        </w:rPr>
      </w:pPr>
      <w:r w:rsidRPr="006D6496">
        <w:rPr>
          <w:rFonts w:ascii="Times New Roman" w:hAnsi="Times New Roman" w:cs="Times New Roman"/>
          <w:b/>
          <w:bCs/>
          <w:color w:val="000000" w:themeColor="text1"/>
          <w:spacing w:val="4"/>
          <w:sz w:val="26"/>
          <w:szCs w:val="26"/>
          <w:shd w:val="clear" w:color="auto" w:fill="FFFFFF"/>
        </w:rPr>
        <w:t>TÀI LIỆU THAM KHẢO</w:t>
      </w:r>
    </w:p>
    <w:p w14:paraId="09CE7A03" w14:textId="77777777" w:rsidR="006D6496" w:rsidRPr="006D6496" w:rsidRDefault="006D6496" w:rsidP="006D6496">
      <w:pPr>
        <w:pStyle w:val="NormalWeb"/>
        <w:shd w:val="clear" w:color="auto" w:fill="FFFFFF"/>
        <w:spacing w:before="0" w:beforeAutospacing="0" w:after="0" w:afterAutospacing="0"/>
        <w:jc w:val="both"/>
        <w:rPr>
          <w:color w:val="0D0D0D"/>
          <w:sz w:val="26"/>
          <w:szCs w:val="26"/>
        </w:rPr>
      </w:pPr>
      <w:r w:rsidRPr="006D6496">
        <w:rPr>
          <w:color w:val="0D0D0D"/>
          <w:sz w:val="26"/>
          <w:szCs w:val="26"/>
          <w:bdr w:val="none" w:sz="0" w:space="0" w:color="auto" w:frame="1"/>
        </w:rPr>
        <w:t>[1] Bộ tài chính (2006), Thông tư 53/2006/TT-BTC “ Hướng dẫn áp dụng KTQT trong các DN”</w:t>
      </w:r>
      <w:r w:rsidRPr="006D6496">
        <w:rPr>
          <w:color w:val="0D0D0D"/>
          <w:sz w:val="26"/>
          <w:szCs w:val="26"/>
        </w:rPr>
        <w:t>.</w:t>
      </w:r>
    </w:p>
    <w:p w14:paraId="2FA31B59" w14:textId="4BBC236B" w:rsidR="006D6496" w:rsidRPr="006D6496" w:rsidRDefault="006D6496" w:rsidP="006D6496">
      <w:pPr>
        <w:spacing w:after="0" w:line="240" w:lineRule="auto"/>
        <w:jc w:val="both"/>
        <w:rPr>
          <w:rFonts w:ascii="Times New Roman" w:hAnsi="Times New Roman" w:cs="Times New Roman"/>
          <w:color w:val="0D0D0D"/>
          <w:sz w:val="26"/>
          <w:szCs w:val="26"/>
        </w:rPr>
      </w:pPr>
      <w:r w:rsidRPr="006D6496">
        <w:rPr>
          <w:rFonts w:ascii="Times New Roman" w:hAnsi="Times New Roman" w:cs="Times New Roman"/>
          <w:color w:val="0D0D0D"/>
          <w:sz w:val="26"/>
          <w:szCs w:val="26"/>
        </w:rPr>
        <w:t>[2] PGS.TS. Phạm Văn Dược - TS. Huỳnh Lợi (2009), Mô hình và cơ chế vận hành kế toán quản trị, NXB tài chính.</w:t>
      </w:r>
    </w:p>
    <w:p w14:paraId="5EAE23E8" w14:textId="77777777" w:rsidR="001C4BC7" w:rsidRPr="00C14CE0" w:rsidRDefault="001C4BC7" w:rsidP="00261E20">
      <w:pPr>
        <w:spacing w:after="0" w:line="312" w:lineRule="auto"/>
        <w:jc w:val="both"/>
        <w:rPr>
          <w:rFonts w:ascii="Times New Roman" w:hAnsi="Times New Roman" w:cs="Times New Roman"/>
          <w:color w:val="000000" w:themeColor="text1"/>
          <w:spacing w:val="4"/>
          <w:sz w:val="26"/>
          <w:szCs w:val="26"/>
          <w:shd w:val="clear" w:color="auto" w:fill="FFFFFF"/>
        </w:rPr>
      </w:pPr>
    </w:p>
    <w:p w14:paraId="7FCF74E3" w14:textId="77777777" w:rsidR="00861964" w:rsidRPr="00C14CE0" w:rsidRDefault="00861964" w:rsidP="00261E20">
      <w:pPr>
        <w:spacing w:after="0" w:line="312" w:lineRule="auto"/>
        <w:jc w:val="both"/>
        <w:rPr>
          <w:rFonts w:ascii="Times New Roman" w:hAnsi="Times New Roman" w:cs="Times New Roman"/>
          <w:color w:val="000000" w:themeColor="text1"/>
          <w:sz w:val="26"/>
          <w:szCs w:val="26"/>
        </w:rPr>
      </w:pPr>
    </w:p>
    <w:p w14:paraId="1D8AA5DD" w14:textId="71535B11" w:rsidR="000A2C66" w:rsidRPr="00861964" w:rsidRDefault="000A2C66" w:rsidP="00261E20">
      <w:pPr>
        <w:spacing w:after="0" w:line="312" w:lineRule="auto"/>
        <w:jc w:val="both"/>
        <w:rPr>
          <w:rFonts w:ascii="Times New Roman" w:hAnsi="Times New Roman" w:cs="Times New Roman"/>
          <w:color w:val="000000" w:themeColor="text1"/>
          <w:sz w:val="26"/>
          <w:szCs w:val="26"/>
        </w:rPr>
      </w:pPr>
    </w:p>
    <w:p w14:paraId="4037DC12" w14:textId="77777777" w:rsidR="00261E20" w:rsidRPr="00261E20" w:rsidRDefault="00261E20" w:rsidP="00261E20">
      <w:pPr>
        <w:spacing w:after="0" w:line="312" w:lineRule="auto"/>
        <w:ind w:firstLine="567"/>
        <w:jc w:val="both"/>
        <w:rPr>
          <w:rFonts w:ascii="Times New Roman" w:hAnsi="Times New Roman" w:cs="Times New Roman"/>
          <w:color w:val="000000" w:themeColor="text1"/>
          <w:sz w:val="26"/>
          <w:szCs w:val="26"/>
        </w:rPr>
      </w:pPr>
    </w:p>
    <w:p w14:paraId="7F938078" w14:textId="77777777" w:rsidR="000257F7" w:rsidRPr="00ED45A1" w:rsidRDefault="000257F7" w:rsidP="00D70FD6">
      <w:pPr>
        <w:shd w:val="clear" w:color="auto" w:fill="FFFFFF"/>
        <w:spacing w:after="0" w:line="312" w:lineRule="auto"/>
        <w:ind w:left="1020" w:right="300"/>
        <w:jc w:val="both"/>
        <w:rPr>
          <w:rFonts w:ascii="Times New Roman" w:eastAsia="Times New Roman" w:hAnsi="Times New Roman" w:cs="Times New Roman"/>
          <w:color w:val="000000" w:themeColor="text1"/>
          <w:sz w:val="26"/>
          <w:szCs w:val="26"/>
        </w:rPr>
      </w:pPr>
    </w:p>
    <w:p w14:paraId="33A4C805" w14:textId="77777777" w:rsidR="006C4EB1" w:rsidRPr="00B64D69" w:rsidRDefault="006C4EB1" w:rsidP="00D70FD6">
      <w:pPr>
        <w:shd w:val="clear" w:color="auto" w:fill="FFFFFF"/>
        <w:spacing w:after="0" w:line="312" w:lineRule="auto"/>
        <w:ind w:left="1020" w:right="300"/>
        <w:jc w:val="both"/>
        <w:rPr>
          <w:rFonts w:ascii="Times New Roman" w:eastAsia="Times New Roman" w:hAnsi="Times New Roman" w:cs="Times New Roman"/>
          <w:color w:val="000000" w:themeColor="text1"/>
          <w:sz w:val="26"/>
          <w:szCs w:val="26"/>
        </w:rPr>
      </w:pPr>
    </w:p>
    <w:p w14:paraId="27FCCB71" w14:textId="39DB7E1B" w:rsidR="00B64D69" w:rsidRDefault="00B64D69" w:rsidP="00D70FD6">
      <w:pPr>
        <w:spacing w:after="0" w:line="312" w:lineRule="auto"/>
        <w:ind w:firstLine="567"/>
        <w:jc w:val="both"/>
        <w:rPr>
          <w:rFonts w:ascii="Times New Roman" w:hAnsi="Times New Roman" w:cs="Times New Roman"/>
          <w:color w:val="000000" w:themeColor="text1"/>
          <w:sz w:val="26"/>
          <w:szCs w:val="26"/>
          <w:lang w:val="fr-FR"/>
        </w:rPr>
      </w:pPr>
    </w:p>
    <w:p w14:paraId="34819EFC" w14:textId="6BBD06D5" w:rsidR="00261E20" w:rsidRDefault="00261E20" w:rsidP="00D70FD6">
      <w:pPr>
        <w:spacing w:after="0" w:line="312" w:lineRule="auto"/>
        <w:ind w:firstLine="567"/>
        <w:jc w:val="both"/>
        <w:rPr>
          <w:rFonts w:ascii="Times New Roman" w:hAnsi="Times New Roman" w:cs="Times New Roman"/>
          <w:color w:val="000000" w:themeColor="text1"/>
          <w:sz w:val="26"/>
          <w:szCs w:val="26"/>
          <w:lang w:val="fr-FR"/>
        </w:rPr>
      </w:pPr>
    </w:p>
    <w:p w14:paraId="4DBBF8B0" w14:textId="3F405393" w:rsidR="00261E20" w:rsidRDefault="00261E20" w:rsidP="00D70FD6">
      <w:pPr>
        <w:spacing w:after="0" w:line="312" w:lineRule="auto"/>
        <w:ind w:firstLine="567"/>
        <w:jc w:val="both"/>
        <w:rPr>
          <w:rFonts w:ascii="Times New Roman" w:hAnsi="Times New Roman" w:cs="Times New Roman"/>
          <w:color w:val="000000" w:themeColor="text1"/>
          <w:sz w:val="26"/>
          <w:szCs w:val="26"/>
          <w:lang w:val="fr-FR"/>
        </w:rPr>
      </w:pPr>
    </w:p>
    <w:p w14:paraId="21D30DDD" w14:textId="38C79A7F" w:rsidR="00261E20" w:rsidRDefault="00261E20" w:rsidP="00D70FD6">
      <w:pPr>
        <w:spacing w:after="0" w:line="312" w:lineRule="auto"/>
        <w:ind w:firstLine="567"/>
        <w:jc w:val="both"/>
        <w:rPr>
          <w:rFonts w:ascii="Times New Roman" w:hAnsi="Times New Roman" w:cs="Times New Roman"/>
          <w:color w:val="000000" w:themeColor="text1"/>
          <w:sz w:val="26"/>
          <w:szCs w:val="26"/>
          <w:lang w:val="fr-FR"/>
        </w:rPr>
      </w:pPr>
    </w:p>
    <w:sectPr w:rsidR="00261E20" w:rsidSect="00011E0E">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7253E"/>
    <w:multiLevelType w:val="hybridMultilevel"/>
    <w:tmpl w:val="34AADFA0"/>
    <w:lvl w:ilvl="0" w:tplc="C6F08928">
      <w:start w:val="1"/>
      <w:numFmt w:val="bullet"/>
      <w:lvlText w:val="-"/>
      <w:lvlJc w:val="left"/>
      <w:pPr>
        <w:ind w:left="1005" w:hanging="360"/>
      </w:pPr>
      <w:rPr>
        <w:rFonts w:ascii="Times New Roman" w:eastAsia="Times New Roman" w:hAnsi="Times New Roman"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nsid w:val="189E2E1F"/>
    <w:multiLevelType w:val="hybridMultilevel"/>
    <w:tmpl w:val="8140E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2F3257"/>
    <w:multiLevelType w:val="multilevel"/>
    <w:tmpl w:val="DAAA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0FF542A"/>
    <w:multiLevelType w:val="multilevel"/>
    <w:tmpl w:val="46CE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DF06B04"/>
    <w:multiLevelType w:val="multilevel"/>
    <w:tmpl w:val="7A44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220A4B"/>
    <w:multiLevelType w:val="hybridMultilevel"/>
    <w:tmpl w:val="8FE6E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E9200B"/>
    <w:multiLevelType w:val="multilevel"/>
    <w:tmpl w:val="E4B0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144558"/>
    <w:multiLevelType w:val="hybridMultilevel"/>
    <w:tmpl w:val="7DFED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352706"/>
    <w:multiLevelType w:val="hybridMultilevel"/>
    <w:tmpl w:val="5FA8104C"/>
    <w:lvl w:ilvl="0" w:tplc="D8C455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7"/>
  </w:num>
  <w:num w:numId="3">
    <w:abstractNumId w:val="1"/>
  </w:num>
  <w:num w:numId="4">
    <w:abstractNumId w:val="0"/>
  </w:num>
  <w:num w:numId="5">
    <w:abstractNumId w:val="6"/>
  </w:num>
  <w:num w:numId="6">
    <w:abstractNumId w:val="3"/>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0E"/>
    <w:rsid w:val="00011E0E"/>
    <w:rsid w:val="00016EC0"/>
    <w:rsid w:val="000257F7"/>
    <w:rsid w:val="000349E4"/>
    <w:rsid w:val="000A2C66"/>
    <w:rsid w:val="000E340B"/>
    <w:rsid w:val="000F02CB"/>
    <w:rsid w:val="00175517"/>
    <w:rsid w:val="001C4BC7"/>
    <w:rsid w:val="001D5E4E"/>
    <w:rsid w:val="001E218F"/>
    <w:rsid w:val="001F4747"/>
    <w:rsid w:val="00261E20"/>
    <w:rsid w:val="002F54DC"/>
    <w:rsid w:val="00391420"/>
    <w:rsid w:val="003B25BE"/>
    <w:rsid w:val="003B6F77"/>
    <w:rsid w:val="0040252C"/>
    <w:rsid w:val="00452E1A"/>
    <w:rsid w:val="004665FF"/>
    <w:rsid w:val="004E7773"/>
    <w:rsid w:val="005A100A"/>
    <w:rsid w:val="005C177B"/>
    <w:rsid w:val="0061083F"/>
    <w:rsid w:val="00634696"/>
    <w:rsid w:val="0068563A"/>
    <w:rsid w:val="006A2748"/>
    <w:rsid w:val="006C4EB1"/>
    <w:rsid w:val="006C58E9"/>
    <w:rsid w:val="006D6496"/>
    <w:rsid w:val="0070085F"/>
    <w:rsid w:val="008263A7"/>
    <w:rsid w:val="00861964"/>
    <w:rsid w:val="008A5E65"/>
    <w:rsid w:val="008E6C43"/>
    <w:rsid w:val="00984B2C"/>
    <w:rsid w:val="009D179E"/>
    <w:rsid w:val="009F7017"/>
    <w:rsid w:val="00A2446F"/>
    <w:rsid w:val="00A63743"/>
    <w:rsid w:val="00AB7A6D"/>
    <w:rsid w:val="00AE1E50"/>
    <w:rsid w:val="00AF6DD6"/>
    <w:rsid w:val="00B018A7"/>
    <w:rsid w:val="00B64D69"/>
    <w:rsid w:val="00BB7E01"/>
    <w:rsid w:val="00C14CE0"/>
    <w:rsid w:val="00CB4D67"/>
    <w:rsid w:val="00CC6911"/>
    <w:rsid w:val="00CE14C9"/>
    <w:rsid w:val="00D3090D"/>
    <w:rsid w:val="00D50446"/>
    <w:rsid w:val="00D60697"/>
    <w:rsid w:val="00D70FD6"/>
    <w:rsid w:val="00D85964"/>
    <w:rsid w:val="00E51909"/>
    <w:rsid w:val="00E5440C"/>
    <w:rsid w:val="00ED45A1"/>
    <w:rsid w:val="00F5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859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F47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1E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85964"/>
    <w:rPr>
      <w:rFonts w:ascii="Times New Roman" w:eastAsia="Times New Roman" w:hAnsi="Times New Roman" w:cs="Times New Roman"/>
      <w:b/>
      <w:bCs/>
      <w:sz w:val="36"/>
      <w:szCs w:val="36"/>
    </w:rPr>
  </w:style>
  <w:style w:type="paragraph" w:styleId="ListParagraph">
    <w:name w:val="List Paragraph"/>
    <w:basedOn w:val="Normal"/>
    <w:uiPriority w:val="34"/>
    <w:qFormat/>
    <w:rsid w:val="00D85964"/>
    <w:pPr>
      <w:ind w:left="720"/>
      <w:contextualSpacing/>
    </w:pPr>
  </w:style>
  <w:style w:type="character" w:styleId="Strong">
    <w:name w:val="Strong"/>
    <w:basedOn w:val="DefaultParagraphFont"/>
    <w:uiPriority w:val="22"/>
    <w:qFormat/>
    <w:rsid w:val="001F4747"/>
    <w:rPr>
      <w:b/>
      <w:bCs/>
    </w:rPr>
  </w:style>
  <w:style w:type="character" w:customStyle="1" w:styleId="Heading3Char">
    <w:name w:val="Heading 3 Char"/>
    <w:basedOn w:val="DefaultParagraphFont"/>
    <w:link w:val="Heading3"/>
    <w:uiPriority w:val="9"/>
    <w:semiHidden/>
    <w:rsid w:val="001F4747"/>
    <w:rPr>
      <w:rFonts w:asciiTheme="majorHAnsi" w:eastAsiaTheme="majorEastAsia" w:hAnsiTheme="majorHAnsi" w:cstheme="majorBidi"/>
      <w:color w:val="243F60" w:themeColor="accent1" w:themeShade="7F"/>
      <w:sz w:val="24"/>
      <w:szCs w:val="24"/>
    </w:rPr>
  </w:style>
  <w:style w:type="paragraph" w:customStyle="1" w:styleId="n">
    <w:name w:val="n"/>
    <w:basedOn w:val="Normal"/>
    <w:qFormat/>
    <w:rsid w:val="00B64D69"/>
    <w:pPr>
      <w:spacing w:after="0" w:line="312" w:lineRule="auto"/>
      <w:ind w:firstLine="567"/>
      <w:jc w:val="both"/>
    </w:pPr>
    <w:rPr>
      <w:rFonts w:ascii="Times New Roman" w:eastAsia="Times New Roman" w:hAnsi="Times New Roman" w:cs="Times New Roman"/>
      <w:sz w:val="24"/>
      <w:szCs w:val="24"/>
      <w:lang w:val="fr-FR"/>
    </w:rPr>
  </w:style>
  <w:style w:type="character" w:styleId="Emphasis">
    <w:name w:val="Emphasis"/>
    <w:basedOn w:val="DefaultParagraphFont"/>
    <w:uiPriority w:val="20"/>
    <w:qFormat/>
    <w:rsid w:val="00B64D69"/>
    <w:rPr>
      <w:i/>
      <w:iCs/>
    </w:rPr>
  </w:style>
  <w:style w:type="character" w:styleId="PlaceholderText">
    <w:name w:val="Placeholder Text"/>
    <w:basedOn w:val="DefaultParagraphFont"/>
    <w:uiPriority w:val="99"/>
    <w:semiHidden/>
    <w:rsid w:val="0040252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859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F47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1E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85964"/>
    <w:rPr>
      <w:rFonts w:ascii="Times New Roman" w:eastAsia="Times New Roman" w:hAnsi="Times New Roman" w:cs="Times New Roman"/>
      <w:b/>
      <w:bCs/>
      <w:sz w:val="36"/>
      <w:szCs w:val="36"/>
    </w:rPr>
  </w:style>
  <w:style w:type="paragraph" w:styleId="ListParagraph">
    <w:name w:val="List Paragraph"/>
    <w:basedOn w:val="Normal"/>
    <w:uiPriority w:val="34"/>
    <w:qFormat/>
    <w:rsid w:val="00D85964"/>
    <w:pPr>
      <w:ind w:left="720"/>
      <w:contextualSpacing/>
    </w:pPr>
  </w:style>
  <w:style w:type="character" w:styleId="Strong">
    <w:name w:val="Strong"/>
    <w:basedOn w:val="DefaultParagraphFont"/>
    <w:uiPriority w:val="22"/>
    <w:qFormat/>
    <w:rsid w:val="001F4747"/>
    <w:rPr>
      <w:b/>
      <w:bCs/>
    </w:rPr>
  </w:style>
  <w:style w:type="character" w:customStyle="1" w:styleId="Heading3Char">
    <w:name w:val="Heading 3 Char"/>
    <w:basedOn w:val="DefaultParagraphFont"/>
    <w:link w:val="Heading3"/>
    <w:uiPriority w:val="9"/>
    <w:semiHidden/>
    <w:rsid w:val="001F4747"/>
    <w:rPr>
      <w:rFonts w:asciiTheme="majorHAnsi" w:eastAsiaTheme="majorEastAsia" w:hAnsiTheme="majorHAnsi" w:cstheme="majorBidi"/>
      <w:color w:val="243F60" w:themeColor="accent1" w:themeShade="7F"/>
      <w:sz w:val="24"/>
      <w:szCs w:val="24"/>
    </w:rPr>
  </w:style>
  <w:style w:type="paragraph" w:customStyle="1" w:styleId="n">
    <w:name w:val="n"/>
    <w:basedOn w:val="Normal"/>
    <w:qFormat/>
    <w:rsid w:val="00B64D69"/>
    <w:pPr>
      <w:spacing w:after="0" w:line="312" w:lineRule="auto"/>
      <w:ind w:firstLine="567"/>
      <w:jc w:val="both"/>
    </w:pPr>
    <w:rPr>
      <w:rFonts w:ascii="Times New Roman" w:eastAsia="Times New Roman" w:hAnsi="Times New Roman" w:cs="Times New Roman"/>
      <w:sz w:val="24"/>
      <w:szCs w:val="24"/>
      <w:lang w:val="fr-FR"/>
    </w:rPr>
  </w:style>
  <w:style w:type="character" w:styleId="Emphasis">
    <w:name w:val="Emphasis"/>
    <w:basedOn w:val="DefaultParagraphFont"/>
    <w:uiPriority w:val="20"/>
    <w:qFormat/>
    <w:rsid w:val="00B64D69"/>
    <w:rPr>
      <w:i/>
      <w:iCs/>
    </w:rPr>
  </w:style>
  <w:style w:type="character" w:styleId="PlaceholderText">
    <w:name w:val="Placeholder Text"/>
    <w:basedOn w:val="DefaultParagraphFont"/>
    <w:uiPriority w:val="99"/>
    <w:semiHidden/>
    <w:rsid w:val="004025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585">
      <w:bodyDiv w:val="1"/>
      <w:marLeft w:val="0"/>
      <w:marRight w:val="0"/>
      <w:marTop w:val="0"/>
      <w:marBottom w:val="0"/>
      <w:divBdr>
        <w:top w:val="none" w:sz="0" w:space="0" w:color="auto"/>
        <w:left w:val="none" w:sz="0" w:space="0" w:color="auto"/>
        <w:bottom w:val="none" w:sz="0" w:space="0" w:color="auto"/>
        <w:right w:val="none" w:sz="0" w:space="0" w:color="auto"/>
      </w:divBdr>
    </w:div>
    <w:div w:id="344674315">
      <w:bodyDiv w:val="1"/>
      <w:marLeft w:val="0"/>
      <w:marRight w:val="0"/>
      <w:marTop w:val="0"/>
      <w:marBottom w:val="0"/>
      <w:divBdr>
        <w:top w:val="none" w:sz="0" w:space="0" w:color="auto"/>
        <w:left w:val="none" w:sz="0" w:space="0" w:color="auto"/>
        <w:bottom w:val="none" w:sz="0" w:space="0" w:color="auto"/>
        <w:right w:val="none" w:sz="0" w:space="0" w:color="auto"/>
      </w:divBdr>
    </w:div>
    <w:div w:id="353460500">
      <w:bodyDiv w:val="1"/>
      <w:marLeft w:val="0"/>
      <w:marRight w:val="0"/>
      <w:marTop w:val="0"/>
      <w:marBottom w:val="0"/>
      <w:divBdr>
        <w:top w:val="none" w:sz="0" w:space="0" w:color="auto"/>
        <w:left w:val="none" w:sz="0" w:space="0" w:color="auto"/>
        <w:bottom w:val="none" w:sz="0" w:space="0" w:color="auto"/>
        <w:right w:val="none" w:sz="0" w:space="0" w:color="auto"/>
      </w:divBdr>
      <w:divsChild>
        <w:div w:id="1233615347">
          <w:marLeft w:val="0"/>
          <w:marRight w:val="0"/>
          <w:marTop w:val="0"/>
          <w:marBottom w:val="150"/>
          <w:divBdr>
            <w:top w:val="none" w:sz="0" w:space="0" w:color="auto"/>
            <w:left w:val="none" w:sz="0" w:space="0" w:color="auto"/>
            <w:bottom w:val="none" w:sz="0" w:space="0" w:color="auto"/>
            <w:right w:val="none" w:sz="0" w:space="0" w:color="auto"/>
          </w:divBdr>
        </w:div>
      </w:divsChild>
    </w:div>
    <w:div w:id="853810740">
      <w:bodyDiv w:val="1"/>
      <w:marLeft w:val="0"/>
      <w:marRight w:val="0"/>
      <w:marTop w:val="0"/>
      <w:marBottom w:val="0"/>
      <w:divBdr>
        <w:top w:val="none" w:sz="0" w:space="0" w:color="auto"/>
        <w:left w:val="none" w:sz="0" w:space="0" w:color="auto"/>
        <w:bottom w:val="none" w:sz="0" w:space="0" w:color="auto"/>
        <w:right w:val="none" w:sz="0" w:space="0" w:color="auto"/>
      </w:divBdr>
    </w:div>
    <w:div w:id="1027758985">
      <w:bodyDiv w:val="1"/>
      <w:marLeft w:val="0"/>
      <w:marRight w:val="0"/>
      <w:marTop w:val="0"/>
      <w:marBottom w:val="0"/>
      <w:divBdr>
        <w:top w:val="none" w:sz="0" w:space="0" w:color="auto"/>
        <w:left w:val="none" w:sz="0" w:space="0" w:color="auto"/>
        <w:bottom w:val="none" w:sz="0" w:space="0" w:color="auto"/>
        <w:right w:val="none" w:sz="0" w:space="0" w:color="auto"/>
      </w:divBdr>
      <w:divsChild>
        <w:div w:id="256643295">
          <w:marLeft w:val="0"/>
          <w:marRight w:val="0"/>
          <w:marTop w:val="0"/>
          <w:marBottom w:val="150"/>
          <w:divBdr>
            <w:top w:val="none" w:sz="0" w:space="0" w:color="auto"/>
            <w:left w:val="none" w:sz="0" w:space="0" w:color="auto"/>
            <w:bottom w:val="none" w:sz="0" w:space="0" w:color="auto"/>
            <w:right w:val="none" w:sz="0" w:space="0" w:color="auto"/>
          </w:divBdr>
        </w:div>
      </w:divsChild>
    </w:div>
    <w:div w:id="1041638241">
      <w:bodyDiv w:val="1"/>
      <w:marLeft w:val="0"/>
      <w:marRight w:val="0"/>
      <w:marTop w:val="0"/>
      <w:marBottom w:val="0"/>
      <w:divBdr>
        <w:top w:val="none" w:sz="0" w:space="0" w:color="auto"/>
        <w:left w:val="none" w:sz="0" w:space="0" w:color="auto"/>
        <w:bottom w:val="none" w:sz="0" w:space="0" w:color="auto"/>
        <w:right w:val="none" w:sz="0" w:space="0" w:color="auto"/>
      </w:divBdr>
    </w:div>
    <w:div w:id="1631328085">
      <w:bodyDiv w:val="1"/>
      <w:marLeft w:val="0"/>
      <w:marRight w:val="0"/>
      <w:marTop w:val="0"/>
      <w:marBottom w:val="0"/>
      <w:divBdr>
        <w:top w:val="none" w:sz="0" w:space="0" w:color="auto"/>
        <w:left w:val="none" w:sz="0" w:space="0" w:color="auto"/>
        <w:bottom w:val="none" w:sz="0" w:space="0" w:color="auto"/>
        <w:right w:val="none" w:sz="0" w:space="0" w:color="auto"/>
      </w:divBdr>
    </w:div>
    <w:div w:id="1646473058">
      <w:bodyDiv w:val="1"/>
      <w:marLeft w:val="0"/>
      <w:marRight w:val="0"/>
      <w:marTop w:val="0"/>
      <w:marBottom w:val="0"/>
      <w:divBdr>
        <w:top w:val="none" w:sz="0" w:space="0" w:color="auto"/>
        <w:left w:val="none" w:sz="0" w:space="0" w:color="auto"/>
        <w:bottom w:val="none" w:sz="0" w:space="0" w:color="auto"/>
        <w:right w:val="none" w:sz="0" w:space="0" w:color="auto"/>
      </w:divBdr>
    </w:div>
    <w:div w:id="1849905329">
      <w:bodyDiv w:val="1"/>
      <w:marLeft w:val="0"/>
      <w:marRight w:val="0"/>
      <w:marTop w:val="0"/>
      <w:marBottom w:val="0"/>
      <w:divBdr>
        <w:top w:val="none" w:sz="0" w:space="0" w:color="auto"/>
        <w:left w:val="none" w:sz="0" w:space="0" w:color="auto"/>
        <w:bottom w:val="none" w:sz="0" w:space="0" w:color="auto"/>
        <w:right w:val="none" w:sz="0" w:space="0" w:color="auto"/>
      </w:divBdr>
    </w:div>
    <w:div w:id="213852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6194</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1. Khái niệm điểm hòa vốn</vt:lpstr>
      <vt:lpstr>    Có nhiều khái niệm khác nhau về điểm hòa vốn, tùy theo từng các tiếp cận:</vt:lpstr>
      <vt:lpstr>    2. Phân loại điểm hòa vốn</vt:lpstr>
      <vt:lpstr>    3. Cách xác định điểm hòa vốn</vt:lpstr>
      <vt:lpstr>        3.1. Cách tính điểm hòa khi kinh doanh một sản phẩm</vt:lpstr>
      <vt:lpstr>        + Cách tính điểm hòa vốn khi kinh doanh nhiều sản phẩm  </vt:lpstr>
    </vt:vector>
  </TitlesOfParts>
  <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Van Thao - Khoa XDCTT</dc:creator>
  <cp:lastModifiedBy>ASUS</cp:lastModifiedBy>
  <cp:revision>2</cp:revision>
  <dcterms:created xsi:type="dcterms:W3CDTF">2021-12-15T07:37:00Z</dcterms:created>
  <dcterms:modified xsi:type="dcterms:W3CDTF">2021-12-15T07:37:00Z</dcterms:modified>
</cp:coreProperties>
</file>