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1700" w14:textId="15DE3E13" w:rsidR="00F34759" w:rsidRPr="00F34759" w:rsidRDefault="00F34759" w:rsidP="00F34759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F3475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 xml:space="preserve">CÁCH TÍNH THUẾ THU NHẬP DOANH NGHIỆP </w:t>
      </w:r>
    </w:p>
    <w:p w14:paraId="2C7A92B7" w14:textId="77777777" w:rsidR="00F34759" w:rsidRPr="00F34759" w:rsidRDefault="00F34759" w:rsidP="00F34759">
      <w:pPr>
        <w:pStyle w:val="NormalWeb"/>
        <w:spacing w:before="0" w:beforeAutospacing="0" w:after="312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(TNDN)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khoản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bắt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buộc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phải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trừ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khoản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chi </w:t>
      </w:r>
      <w:proofErr w:type="spellStart"/>
      <w:r w:rsidRPr="00F34759">
        <w:rPr>
          <w:color w:val="000000" w:themeColor="text1"/>
          <w:sz w:val="26"/>
          <w:szCs w:val="26"/>
        </w:rPr>
        <w:t>phí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hợp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pháp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luật</w:t>
      </w:r>
      <w:proofErr w:type="spellEnd"/>
      <w:r w:rsidRPr="00F34759">
        <w:rPr>
          <w:color w:val="000000" w:themeColor="text1"/>
          <w:sz w:val="26"/>
          <w:szCs w:val="26"/>
        </w:rPr>
        <w:t xml:space="preserve">. </w:t>
      </w:r>
      <w:proofErr w:type="spellStart"/>
      <w:r w:rsidRPr="00F34759">
        <w:rPr>
          <w:color w:val="000000" w:themeColor="text1"/>
          <w:sz w:val="26"/>
          <w:szCs w:val="26"/>
        </w:rPr>
        <w:t>Việc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toán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chính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xác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đầy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đủ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trách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nhiệm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nghĩa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vụ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mỗi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755B46F3" w14:textId="77777777" w:rsidR="00F34759" w:rsidRPr="00F34759" w:rsidRDefault="00F34759" w:rsidP="00F34759">
      <w:pPr>
        <w:pStyle w:val="NormalWeb"/>
        <w:spacing w:before="0" w:beforeAutospacing="0" w:after="312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Tuy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nhiên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luật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thường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xuyên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thay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đổi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khiến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việc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áp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dụng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mới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trở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nên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khó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khăn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với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. Do </w:t>
      </w:r>
      <w:proofErr w:type="spellStart"/>
      <w:r w:rsidRPr="00F34759">
        <w:rPr>
          <w:color w:val="000000" w:themeColor="text1"/>
          <w:sz w:val="26"/>
          <w:szCs w:val="26"/>
        </w:rPr>
        <w:t>đó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hướng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dẫn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mới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một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tài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liệu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vô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cùng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quan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trọng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cần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thiết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3B943499" w14:textId="27E58506" w:rsidR="00F34759" w:rsidRPr="00F34759" w:rsidRDefault="00F34759" w:rsidP="00F34759">
      <w:pPr>
        <w:pStyle w:val="Heading2"/>
        <w:spacing w:before="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1.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Đối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tượng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nào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phải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nộp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TNDN</w:t>
      </w:r>
    </w:p>
    <w:p w14:paraId="3FB2A953" w14:textId="77777777" w:rsidR="00F34759" w:rsidRPr="00F34759" w:rsidRDefault="00F34759" w:rsidP="00F34759">
      <w:pPr>
        <w:pStyle w:val="NormalWeb"/>
        <w:spacing w:before="0" w:beforeAutospacing="0" w:after="312" w:afterAutospacing="0"/>
        <w:ind w:firstLine="672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Theo 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tại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2 </w:t>
      </w:r>
      <w:proofErr w:type="spellStart"/>
      <w:r w:rsidRPr="00F34759">
        <w:rPr>
          <w:color w:val="000000" w:themeColor="text1"/>
          <w:sz w:val="26"/>
          <w:szCs w:val="26"/>
        </w:rPr>
        <w:t>Thông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tư</w:t>
      </w:r>
      <w:proofErr w:type="spellEnd"/>
      <w:r w:rsidRPr="00F34759">
        <w:rPr>
          <w:color w:val="000000" w:themeColor="text1"/>
          <w:sz w:val="26"/>
          <w:szCs w:val="26"/>
        </w:rPr>
        <w:t xml:space="preserve"> 78/2014/TT-BTC </w:t>
      </w:r>
      <w:proofErr w:type="spellStart"/>
      <w:r w:rsidRPr="00F34759">
        <w:rPr>
          <w:color w:val="000000" w:themeColor="text1"/>
          <w:sz w:val="26"/>
          <w:szCs w:val="26"/>
        </w:rPr>
        <w:t>hướng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dẫn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hành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Nghị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218/2013/NĐ-CP (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chi </w:t>
      </w:r>
      <w:proofErr w:type="spellStart"/>
      <w:r w:rsidRPr="00F34759">
        <w:rPr>
          <w:color w:val="000000" w:themeColor="text1"/>
          <w:sz w:val="26"/>
          <w:szCs w:val="26"/>
        </w:rPr>
        <w:t>tiết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hướng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dẫn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hành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luật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TNDN), </w:t>
      </w:r>
      <w:proofErr w:type="spellStart"/>
      <w:r w:rsidRPr="00F34759">
        <w:rPr>
          <w:color w:val="000000" w:themeColor="text1"/>
          <w:sz w:val="26"/>
          <w:szCs w:val="26"/>
        </w:rPr>
        <w:t>người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bao </w:t>
      </w:r>
      <w:proofErr w:type="spellStart"/>
      <w:r w:rsidRPr="00F34759">
        <w:rPr>
          <w:color w:val="000000" w:themeColor="text1"/>
          <w:sz w:val="26"/>
          <w:szCs w:val="26"/>
        </w:rPr>
        <w:t>gồm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đối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tượng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>:</w:t>
      </w:r>
    </w:p>
    <w:p w14:paraId="4416A387" w14:textId="77777777" w:rsidR="00F34759" w:rsidRPr="00F34759" w:rsidRDefault="00F34759" w:rsidP="00F34759">
      <w:pPr>
        <w:numPr>
          <w:ilvl w:val="0"/>
          <w:numId w:val="1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Nam.</w:t>
      </w:r>
    </w:p>
    <w:p w14:paraId="338C4BBC" w14:textId="77777777" w:rsidR="00F34759" w:rsidRPr="00F34759" w:rsidRDefault="00F34759" w:rsidP="00F34759">
      <w:pPr>
        <w:numPr>
          <w:ilvl w:val="0"/>
          <w:numId w:val="1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422F09" w14:textId="77777777" w:rsidR="00F34759" w:rsidRPr="00F34759" w:rsidRDefault="00F34759" w:rsidP="00F34759">
      <w:pPr>
        <w:numPr>
          <w:ilvl w:val="0"/>
          <w:numId w:val="1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13278B" w14:textId="77777777" w:rsidR="00F34759" w:rsidRPr="00F34759" w:rsidRDefault="00F34759" w:rsidP="00F34759">
      <w:pPr>
        <w:numPr>
          <w:ilvl w:val="0"/>
          <w:numId w:val="1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Nam.</w:t>
      </w:r>
    </w:p>
    <w:p w14:paraId="0FE0A69D" w14:textId="77777777" w:rsidR="00F34759" w:rsidRPr="00F34759" w:rsidRDefault="00F34759" w:rsidP="00F34759">
      <w:pPr>
        <w:numPr>
          <w:ilvl w:val="0"/>
          <w:numId w:val="1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648178" w14:textId="77777777" w:rsidR="00F34759" w:rsidRPr="00F34759" w:rsidRDefault="00F34759" w:rsidP="00F3475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6650D0" w14:textId="55A27A2A" w:rsidR="00F34759" w:rsidRPr="00F34759" w:rsidRDefault="00F34759" w:rsidP="00F34759">
      <w:pPr>
        <w:pStyle w:val="Heading2"/>
        <w:spacing w:before="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4759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2.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Công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thức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tính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nhập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doanh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nghiệp</w:t>
      </w:r>
      <w:proofErr w:type="spellEnd"/>
    </w:p>
    <w:p w14:paraId="51371B52" w14:textId="77777777" w:rsidR="00F34759" w:rsidRPr="00F34759" w:rsidRDefault="00F34759" w:rsidP="00F34759">
      <w:pPr>
        <w:pStyle w:val="NormalWeb"/>
        <w:spacing w:before="0" w:beforeAutospacing="0" w:after="312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Kế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toán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viên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lưu</w:t>
      </w:r>
      <w:proofErr w:type="spellEnd"/>
      <w:r w:rsidRPr="00F34759">
        <w:rPr>
          <w:color w:val="000000" w:themeColor="text1"/>
          <w:sz w:val="26"/>
          <w:szCs w:val="26"/>
        </w:rPr>
        <w:t xml:space="preserve"> ý: Theo </w:t>
      </w:r>
      <w:proofErr w:type="spellStart"/>
      <w:r w:rsidRPr="00F34759">
        <w:rPr>
          <w:color w:val="000000" w:themeColor="text1"/>
          <w:sz w:val="26"/>
          <w:szCs w:val="26"/>
        </w:rPr>
        <w:t>hướng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dẫn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mới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nhất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tạm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thì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cần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phải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tờ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khai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tạm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nữa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chỉ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ra </w:t>
      </w:r>
      <w:proofErr w:type="spellStart"/>
      <w:r w:rsidRPr="00F34759">
        <w:rPr>
          <w:color w:val="000000" w:themeColor="text1"/>
          <w:sz w:val="26"/>
          <w:szCs w:val="26"/>
        </w:rPr>
        <w:t>số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tiền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tạm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số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đó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đó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thực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hiện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tờ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khai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toán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vào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cuối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năm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4775131B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Theo </w:t>
      </w:r>
      <w:proofErr w:type="spellStart"/>
      <w:r w:rsidRPr="00F34759">
        <w:rPr>
          <w:color w:val="000000" w:themeColor="text1"/>
          <w:sz w:val="26"/>
          <w:szCs w:val="26"/>
        </w:rPr>
        <w:t>Điều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1 </w:t>
      </w:r>
      <w:proofErr w:type="spellStart"/>
      <w:r w:rsidRPr="00F34759">
        <w:rPr>
          <w:color w:val="000000" w:themeColor="text1"/>
          <w:sz w:val="26"/>
          <w:szCs w:val="26"/>
        </w:rPr>
        <w:t>Thông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tư</w:t>
      </w:r>
      <w:proofErr w:type="spellEnd"/>
      <w:r w:rsidRPr="00F34759">
        <w:rPr>
          <w:color w:val="000000" w:themeColor="text1"/>
          <w:sz w:val="26"/>
          <w:szCs w:val="26"/>
        </w:rPr>
        <w:t xml:space="preserve"> 96/2015/TT-BTC </w:t>
      </w:r>
      <w:proofErr w:type="spellStart"/>
      <w:r w:rsidRPr="00F34759">
        <w:rPr>
          <w:color w:val="000000" w:themeColor="text1"/>
          <w:sz w:val="26"/>
          <w:szCs w:val="26"/>
        </w:rPr>
        <w:t>sửa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đổi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bổ</w:t>
      </w:r>
      <w:proofErr w:type="spellEnd"/>
      <w:r w:rsidRPr="00F34759">
        <w:rPr>
          <w:color w:val="000000" w:themeColor="text1"/>
          <w:sz w:val="26"/>
          <w:szCs w:val="26"/>
        </w:rPr>
        <w:t xml:space="preserve"> sung </w:t>
      </w:r>
      <w:proofErr w:type="spellStart"/>
      <w:r w:rsidRPr="00F34759">
        <w:rPr>
          <w:color w:val="000000" w:themeColor="text1"/>
          <w:sz w:val="26"/>
          <w:szCs w:val="26"/>
        </w:rPr>
        <w:t>Khoản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1 </w:t>
      </w:r>
      <w:proofErr w:type="spellStart"/>
      <w:r w:rsidRPr="00F34759">
        <w:rPr>
          <w:color w:val="000000" w:themeColor="text1"/>
          <w:sz w:val="26"/>
          <w:szCs w:val="26"/>
        </w:rPr>
        <w:t>Điều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3 </w:t>
      </w:r>
      <w:proofErr w:type="spellStart"/>
      <w:r w:rsidRPr="00F34759">
        <w:rPr>
          <w:color w:val="000000" w:themeColor="text1"/>
          <w:sz w:val="26"/>
          <w:szCs w:val="26"/>
        </w:rPr>
        <w:t>Thông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tư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số</w:t>
      </w:r>
      <w:proofErr w:type="spellEnd"/>
      <w:r w:rsidRPr="00F34759">
        <w:rPr>
          <w:color w:val="000000" w:themeColor="text1"/>
          <w:sz w:val="26"/>
          <w:szCs w:val="26"/>
        </w:rPr>
        <w:t xml:space="preserve"> 78/2014/TT-BTC,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được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xác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thức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>: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F34759" w:rsidRPr="00F34759" w14:paraId="2BEBAEF1" w14:textId="77777777" w:rsidTr="00F34759">
        <w:trPr>
          <w:trHeight w:val="3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ADEA1" w14:textId="77777777" w:rsidR="00F34759" w:rsidRPr="00F34759" w:rsidRDefault="00F34759" w:rsidP="00F34759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TNDN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(Thu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trích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quỹ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KHCN (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)) x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TNDN</w:t>
            </w:r>
          </w:p>
        </w:tc>
      </w:tr>
    </w:tbl>
    <w:p w14:paraId="0BA30F1F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Trong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đó</w:t>
      </w:r>
      <w:proofErr w:type="spellEnd"/>
      <w:r w:rsidRPr="00F34759">
        <w:rPr>
          <w:color w:val="000000" w:themeColor="text1"/>
          <w:sz w:val="26"/>
          <w:szCs w:val="26"/>
        </w:rPr>
        <w:t>:</w:t>
      </w:r>
    </w:p>
    <w:p w14:paraId="0987DB40" w14:textId="77777777" w:rsidR="00F34759" w:rsidRPr="00F34759" w:rsidRDefault="00F34759" w:rsidP="00F34759">
      <w:pPr>
        <w:numPr>
          <w:ilvl w:val="0"/>
          <w:numId w:val="2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Thu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9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5"/>
      </w:tblGrid>
      <w:tr w:rsidR="00F34759" w:rsidRPr="00F34759" w14:paraId="70D0ACA2" w14:textId="77777777" w:rsidTr="00F34759">
        <w:trPr>
          <w:trHeight w:val="4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2E890" w14:textId="77777777" w:rsidR="00F34759" w:rsidRPr="00F34759" w:rsidRDefault="00F34759" w:rsidP="00F34759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Thu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chịu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Thu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miễn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lỗ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14:paraId="107BB844" w14:textId="77777777" w:rsidR="00F34759" w:rsidRPr="00F34759" w:rsidRDefault="00F34759" w:rsidP="00F34759">
      <w:pPr>
        <w:jc w:val="both"/>
        <w:rPr>
          <w:rFonts w:ascii="Times New Roman" w:hAnsi="Times New Roman" w:cs="Times New Roman"/>
          <w:vanish/>
          <w:color w:val="000000" w:themeColor="text1"/>
          <w:sz w:val="26"/>
          <w:szCs w:val="26"/>
        </w:rPr>
      </w:pPr>
    </w:p>
    <w:tbl>
      <w:tblPr>
        <w:tblW w:w="9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1"/>
      </w:tblGrid>
      <w:tr w:rsidR="00F34759" w:rsidRPr="00F34759" w14:paraId="6BDB587B" w14:textId="77777777" w:rsidTr="00F34759">
        <w:trPr>
          <w:trHeight w:val="3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8D474" w14:textId="77777777" w:rsidR="00F34759" w:rsidRPr="00F34759" w:rsidRDefault="00F34759" w:rsidP="00F34759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chịu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Doanh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Chi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+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47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</w:tr>
    </w:tbl>
    <w:p w14:paraId="58DE47B7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suất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TNDN: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tại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11 </w:t>
      </w:r>
      <w:proofErr w:type="spellStart"/>
      <w:r w:rsidRPr="00F34759">
        <w:rPr>
          <w:color w:val="000000" w:themeColor="text1"/>
          <w:sz w:val="26"/>
          <w:szCs w:val="26"/>
        </w:rPr>
        <w:t>Thông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tư</w:t>
      </w:r>
      <w:proofErr w:type="spellEnd"/>
      <w:r w:rsidRPr="00F34759">
        <w:rPr>
          <w:color w:val="000000" w:themeColor="text1"/>
          <w:sz w:val="26"/>
          <w:szCs w:val="26"/>
        </w:rPr>
        <w:t xml:space="preserve"> 78/2014/TT-BTC,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từ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thời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điểm</w:t>
      </w:r>
      <w:proofErr w:type="spellEnd"/>
      <w:r w:rsidRPr="00F34759">
        <w:rPr>
          <w:color w:val="000000" w:themeColor="text1"/>
          <w:sz w:val="26"/>
          <w:szCs w:val="26"/>
        </w:rPr>
        <w:t xml:space="preserve"> 01/01/2014:</w:t>
      </w:r>
    </w:p>
    <w:p w14:paraId="62721A02" w14:textId="77777777" w:rsidR="00F34759" w:rsidRPr="00F34759" w:rsidRDefault="00F34759" w:rsidP="00F34759">
      <w:pPr>
        <w:numPr>
          <w:ilvl w:val="0"/>
          <w:numId w:val="3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(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):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20%.</w:t>
      </w:r>
    </w:p>
    <w:p w14:paraId="4E5CB975" w14:textId="77777777" w:rsidR="00F34759" w:rsidRPr="00F34759" w:rsidRDefault="00F34759" w:rsidP="00F34759">
      <w:pPr>
        <w:numPr>
          <w:ilvl w:val="0"/>
          <w:numId w:val="4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thăm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dò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Nam: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dao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32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50% –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tướng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43AB93" w14:textId="77777777" w:rsidR="00F34759" w:rsidRPr="00F34759" w:rsidRDefault="00F34759" w:rsidP="00F34759">
      <w:pPr>
        <w:numPr>
          <w:ilvl w:val="0"/>
          <w:numId w:val="5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thăm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dò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mỏ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hiếm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50%.</w:t>
      </w:r>
    </w:p>
    <w:p w14:paraId="7D19F9B8" w14:textId="77777777" w:rsidR="00F34759" w:rsidRPr="00F34759" w:rsidRDefault="00F34759" w:rsidP="00F34759">
      <w:pPr>
        <w:numPr>
          <w:ilvl w:val="0"/>
          <w:numId w:val="6"/>
        </w:numPr>
        <w:spacing w:before="100" w:beforeAutospacing="1" w:after="144"/>
        <w:ind w:left="10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mỏ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hiếm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70%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nằm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bàn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khăn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bàn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ưu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đãi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F347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40%.</w:t>
      </w:r>
    </w:p>
    <w:p w14:paraId="688E0772" w14:textId="3A6E90A4" w:rsidR="00F34759" w:rsidRPr="00F34759" w:rsidRDefault="00F34759" w:rsidP="00F34759">
      <w:pPr>
        <w:pStyle w:val="Heading2"/>
        <w:spacing w:before="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4759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3.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Một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số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đặc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điểm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nhập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doanh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nghiệp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14:paraId="140D4B0B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trực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(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trực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tiếp</w:t>
      </w:r>
      <w:proofErr w:type="spellEnd"/>
      <w:r w:rsidRPr="00F34759">
        <w:rPr>
          <w:color w:val="000000" w:themeColor="text1"/>
          <w:sz w:val="26"/>
          <w:szCs w:val="26"/>
        </w:rPr>
        <w:t>)</w:t>
      </w:r>
    </w:p>
    <w:p w14:paraId="5D04AC1A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suất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20% </w:t>
      </w:r>
      <w:proofErr w:type="spellStart"/>
      <w:r w:rsidRPr="00F34759">
        <w:rPr>
          <w:color w:val="000000" w:themeColor="text1"/>
          <w:sz w:val="26"/>
          <w:szCs w:val="26"/>
        </w:rPr>
        <w:t>trừ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một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số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trường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hợp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đặc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biệt</w:t>
      </w:r>
      <w:proofErr w:type="spellEnd"/>
    </w:p>
    <w:p w14:paraId="174B49C0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lũy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tiến</w:t>
      </w:r>
      <w:proofErr w:type="spellEnd"/>
    </w:p>
    <w:p w14:paraId="3E58F83B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phụ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thuộc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lợi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nhuận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. </w:t>
      </w:r>
      <w:proofErr w:type="spellStart"/>
      <w:r w:rsidRPr="00F34759">
        <w:rPr>
          <w:color w:val="000000" w:themeColor="text1"/>
          <w:sz w:val="26"/>
          <w:szCs w:val="26"/>
        </w:rPr>
        <w:t>Nếu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trong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năm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lỗ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thì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cần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</w:p>
    <w:p w14:paraId="7637D316" w14:textId="77777777" w:rsidR="00F34759" w:rsidRPr="00F34759" w:rsidRDefault="00F34759" w:rsidP="00F34759">
      <w:pPr>
        <w:pStyle w:val="NormalWeb"/>
        <w:spacing w:before="0" w:beforeAutospacing="0" w:after="312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Như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vậy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đặc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điểm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nghiệp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khá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giống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với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số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loại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trực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khác</w:t>
      </w:r>
      <w:proofErr w:type="spellEnd"/>
      <w:r w:rsidRPr="00F34759">
        <w:rPr>
          <w:color w:val="000000" w:themeColor="text1"/>
          <w:sz w:val="26"/>
          <w:szCs w:val="26"/>
        </w:rPr>
        <w:t xml:space="preserve">. </w:t>
      </w:r>
      <w:proofErr w:type="spellStart"/>
      <w:r w:rsidRPr="00F34759">
        <w:rPr>
          <w:color w:val="000000" w:themeColor="text1"/>
          <w:sz w:val="26"/>
          <w:szCs w:val="26"/>
        </w:rPr>
        <w:t>Đóng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vai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trò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rất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lớn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trong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việc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cố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ngân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sách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tái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cơ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cấu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nguồn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vốn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trong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nền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kinh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tế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56A9E329" w14:textId="03B29522" w:rsidR="00F34759" w:rsidRPr="00F34759" w:rsidRDefault="00F34759" w:rsidP="00F34759">
      <w:pPr>
        <w:pStyle w:val="Heading2"/>
        <w:spacing w:before="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4759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4.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Các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bước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tính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TNDN</w:t>
      </w:r>
    </w:p>
    <w:p w14:paraId="4E7C7296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Về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thuyết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được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>:</w:t>
      </w:r>
    </w:p>
    <w:p w14:paraId="1744C467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1: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doanh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trong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kỳ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, chi </w:t>
      </w:r>
      <w:proofErr w:type="spellStart"/>
      <w:r w:rsidRPr="00F34759">
        <w:rPr>
          <w:color w:val="000000" w:themeColor="text1"/>
          <w:sz w:val="26"/>
          <w:szCs w:val="26"/>
        </w:rPr>
        <w:t>phí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được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trừ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khoản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khác</w:t>
      </w:r>
      <w:proofErr w:type="spellEnd"/>
    </w:p>
    <w:p w14:paraId="442F6A13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lastRenderedPageBreak/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2: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chịu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thức</w:t>
      </w:r>
      <w:proofErr w:type="spellEnd"/>
      <w:r w:rsidRPr="00F34759">
        <w:rPr>
          <w:color w:val="000000" w:themeColor="text1"/>
          <w:sz w:val="26"/>
          <w:szCs w:val="26"/>
        </w:rPr>
        <w:t> </w:t>
      </w:r>
    </w:p>
    <w:p w14:paraId="6A053FC1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3: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được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miễn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các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khoản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lỗ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được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chuyển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định</w:t>
      </w:r>
      <w:proofErr w:type="spellEnd"/>
    </w:p>
    <w:p w14:paraId="666BBBAF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4: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nhập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thức</w:t>
      </w:r>
      <w:proofErr w:type="spellEnd"/>
      <w:r w:rsidRPr="00F34759">
        <w:rPr>
          <w:color w:val="000000" w:themeColor="text1"/>
          <w:sz w:val="26"/>
          <w:szCs w:val="26"/>
        </w:rPr>
        <w:t> </w:t>
      </w:r>
    </w:p>
    <w:p w14:paraId="4E0C09FB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Bước</w:t>
      </w:r>
      <w:proofErr w:type="spellEnd"/>
      <w:r w:rsidRPr="00F34759">
        <w:rPr>
          <w:color w:val="000000" w:themeColor="text1"/>
          <w:sz w:val="26"/>
          <w:szCs w:val="26"/>
        </w:rPr>
        <w:t xml:space="preserve"> 5: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phải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công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thức</w:t>
      </w:r>
      <w:proofErr w:type="spellEnd"/>
      <w:r w:rsidRPr="00F34759">
        <w:rPr>
          <w:color w:val="000000" w:themeColor="text1"/>
          <w:sz w:val="26"/>
          <w:szCs w:val="26"/>
        </w:rPr>
        <w:t> </w:t>
      </w:r>
    </w:p>
    <w:p w14:paraId="5BE87B0E" w14:textId="4768342D" w:rsidR="00F34759" w:rsidRPr="00F34759" w:rsidRDefault="00F34759" w:rsidP="00F34759">
      <w:pPr>
        <w:pStyle w:val="Heading2"/>
        <w:spacing w:before="0"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34759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5.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Thời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hạn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khai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nộp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thu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nhập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doanh</w:t>
      </w:r>
      <w:proofErr w:type="spellEnd"/>
      <w:r w:rsidRPr="00F347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F34759">
        <w:rPr>
          <w:rFonts w:ascii="Times New Roman" w:hAnsi="Times New Roman" w:cs="Times New Roman"/>
          <w:b/>
          <w:bCs/>
          <w:color w:val="000000" w:themeColor="text1"/>
        </w:rPr>
        <w:t>nghiệp</w:t>
      </w:r>
      <w:proofErr w:type="spellEnd"/>
    </w:p>
    <w:p w14:paraId="00C5BC27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F34759">
        <w:rPr>
          <w:color w:val="000000" w:themeColor="text1"/>
          <w:sz w:val="26"/>
          <w:szCs w:val="26"/>
        </w:rPr>
        <w:t>Căn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cứ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Điều</w:t>
      </w:r>
      <w:proofErr w:type="spellEnd"/>
      <w:r w:rsidRPr="00F34759">
        <w:rPr>
          <w:color w:val="000000" w:themeColor="text1"/>
          <w:sz w:val="26"/>
          <w:szCs w:val="26"/>
        </w:rPr>
        <w:t xml:space="preserve"> 44 </w:t>
      </w:r>
      <w:proofErr w:type="spellStart"/>
      <w:r w:rsidRPr="00F34759">
        <w:rPr>
          <w:color w:val="000000" w:themeColor="text1"/>
          <w:sz w:val="26"/>
          <w:szCs w:val="26"/>
        </w:rPr>
        <w:t>Luật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Quản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2019, </w:t>
      </w:r>
      <w:proofErr w:type="spellStart"/>
      <w:r w:rsidRPr="00F34759">
        <w:rPr>
          <w:color w:val="000000" w:themeColor="text1"/>
          <w:sz w:val="26"/>
          <w:szCs w:val="26"/>
        </w:rPr>
        <w:t>thời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khai</w:t>
      </w:r>
      <w:proofErr w:type="spellEnd"/>
      <w:r w:rsidRPr="00F34759">
        <w:rPr>
          <w:color w:val="000000" w:themeColor="text1"/>
          <w:sz w:val="26"/>
          <w:szCs w:val="26"/>
        </w:rPr>
        <w:t xml:space="preserve">,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toán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như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sau</w:t>
      </w:r>
      <w:proofErr w:type="spellEnd"/>
      <w:r w:rsidRPr="00F34759">
        <w:rPr>
          <w:color w:val="000000" w:themeColor="text1"/>
          <w:sz w:val="26"/>
          <w:szCs w:val="26"/>
        </w:rPr>
        <w:t>:</w:t>
      </w:r>
    </w:p>
    <w:p w14:paraId="3CCFE582" w14:textId="77777777" w:rsidR="00F34759" w:rsidRP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Thời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TNDN </w:t>
      </w:r>
      <w:proofErr w:type="spellStart"/>
      <w:r w:rsidRPr="00F34759">
        <w:rPr>
          <w:color w:val="000000" w:themeColor="text1"/>
          <w:sz w:val="26"/>
          <w:szCs w:val="26"/>
        </w:rPr>
        <w:t>tạm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tính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hàng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quý</w:t>
      </w:r>
      <w:proofErr w:type="spellEnd"/>
      <w:r w:rsidRPr="00F34759">
        <w:rPr>
          <w:color w:val="000000" w:themeColor="text1"/>
          <w:sz w:val="26"/>
          <w:szCs w:val="26"/>
        </w:rPr>
        <w:t xml:space="preserve">: </w:t>
      </w:r>
      <w:proofErr w:type="spellStart"/>
      <w:r w:rsidRPr="00F34759">
        <w:rPr>
          <w:color w:val="000000" w:themeColor="text1"/>
          <w:sz w:val="26"/>
          <w:szCs w:val="26"/>
        </w:rPr>
        <w:t>Chậm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ngày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cuối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cùng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tháng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đầu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tiếp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theo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quý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phát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sinh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nghĩa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vụ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0EA46EB1" w14:textId="0A002198" w:rsidR="00F34759" w:rsidRDefault="00F34759" w:rsidP="00F34759">
      <w:pPr>
        <w:pStyle w:val="NormalWeb"/>
        <w:spacing w:before="0" w:beforeAutospacing="0" w:after="312" w:afterAutospacing="0"/>
        <w:jc w:val="both"/>
        <w:rPr>
          <w:color w:val="000000" w:themeColor="text1"/>
          <w:sz w:val="26"/>
          <w:szCs w:val="26"/>
        </w:rPr>
      </w:pPr>
      <w:r w:rsidRPr="00F34759">
        <w:rPr>
          <w:color w:val="000000" w:themeColor="text1"/>
          <w:sz w:val="26"/>
          <w:szCs w:val="26"/>
        </w:rPr>
        <w:t xml:space="preserve">– </w:t>
      </w:r>
      <w:proofErr w:type="spellStart"/>
      <w:r w:rsidRPr="00F34759">
        <w:rPr>
          <w:color w:val="000000" w:themeColor="text1"/>
          <w:sz w:val="26"/>
          <w:szCs w:val="26"/>
        </w:rPr>
        <w:t>Thời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nộp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sơ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quyết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toán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thuế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năm</w:t>
      </w:r>
      <w:proofErr w:type="spellEnd"/>
      <w:r w:rsidRPr="00F34759">
        <w:rPr>
          <w:color w:val="000000" w:themeColor="text1"/>
          <w:sz w:val="26"/>
          <w:szCs w:val="26"/>
        </w:rPr>
        <w:t xml:space="preserve">: </w:t>
      </w:r>
      <w:proofErr w:type="spellStart"/>
      <w:r w:rsidRPr="00F34759">
        <w:rPr>
          <w:color w:val="000000" w:themeColor="text1"/>
          <w:sz w:val="26"/>
          <w:szCs w:val="26"/>
        </w:rPr>
        <w:t>Chậm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nhất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là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ngày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cuối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cùng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của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tháng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thứ</w:t>
      </w:r>
      <w:proofErr w:type="spellEnd"/>
      <w:r w:rsidRPr="00F34759">
        <w:rPr>
          <w:color w:val="000000" w:themeColor="text1"/>
          <w:sz w:val="26"/>
          <w:szCs w:val="26"/>
        </w:rPr>
        <w:t xml:space="preserve"> 3 </w:t>
      </w:r>
      <w:proofErr w:type="spellStart"/>
      <w:r w:rsidRPr="00F34759">
        <w:rPr>
          <w:color w:val="000000" w:themeColor="text1"/>
          <w:sz w:val="26"/>
          <w:szCs w:val="26"/>
        </w:rPr>
        <w:t>kể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từ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ngày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kết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thúc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năm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dương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lịch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hoặc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năm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tài</w:t>
      </w:r>
      <w:proofErr w:type="spellEnd"/>
      <w:r w:rsidRPr="00F34759">
        <w:rPr>
          <w:color w:val="000000" w:themeColor="text1"/>
          <w:sz w:val="26"/>
          <w:szCs w:val="26"/>
        </w:rPr>
        <w:t xml:space="preserve"> </w:t>
      </w:r>
      <w:proofErr w:type="spellStart"/>
      <w:r w:rsidRPr="00F34759">
        <w:rPr>
          <w:color w:val="000000" w:themeColor="text1"/>
          <w:sz w:val="26"/>
          <w:szCs w:val="26"/>
        </w:rPr>
        <w:t>chính</w:t>
      </w:r>
      <w:proofErr w:type="spellEnd"/>
      <w:r w:rsidRPr="00F34759">
        <w:rPr>
          <w:color w:val="000000" w:themeColor="text1"/>
          <w:sz w:val="26"/>
          <w:szCs w:val="26"/>
        </w:rPr>
        <w:t>.</w:t>
      </w:r>
    </w:p>
    <w:p w14:paraId="42156AA8" w14:textId="52E046CF" w:rsidR="00044404" w:rsidRPr="00044404" w:rsidRDefault="00044404" w:rsidP="00044404">
      <w:pPr>
        <w:pStyle w:val="NormalWeb"/>
        <w:spacing w:before="0" w:beforeAutospacing="0" w:after="312" w:afterAutospacing="0"/>
        <w:jc w:val="right"/>
        <w:rPr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044404">
        <w:rPr>
          <w:b/>
          <w:bCs/>
          <w:i/>
          <w:iCs/>
          <w:color w:val="000000" w:themeColor="text1"/>
          <w:sz w:val="26"/>
          <w:szCs w:val="26"/>
          <w:lang w:val="vi-VN"/>
        </w:rPr>
        <w:t>GV_ Nguyễn Thị Đoan Trang</w:t>
      </w:r>
    </w:p>
    <w:p w14:paraId="56AAF788" w14:textId="77777777" w:rsidR="00F34759" w:rsidRPr="00F34759" w:rsidRDefault="00F34759" w:rsidP="00F3475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34759" w:rsidRPr="00F34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124A"/>
    <w:multiLevelType w:val="multilevel"/>
    <w:tmpl w:val="C1C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4609D"/>
    <w:multiLevelType w:val="multilevel"/>
    <w:tmpl w:val="72D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25B22"/>
    <w:multiLevelType w:val="multilevel"/>
    <w:tmpl w:val="D99C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50DF4"/>
    <w:multiLevelType w:val="multilevel"/>
    <w:tmpl w:val="D7C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A422E"/>
    <w:multiLevelType w:val="multilevel"/>
    <w:tmpl w:val="49F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84BB2"/>
    <w:multiLevelType w:val="multilevel"/>
    <w:tmpl w:val="69E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59"/>
    <w:rsid w:val="00044404"/>
    <w:rsid w:val="00F3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4C6E5"/>
  <w15:chartTrackingRefBased/>
  <w15:docId w15:val="{B437EA2A-69F5-DE40-A412-A3FE21B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47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347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34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2025-03-14T14:21:00Z</dcterms:created>
  <dcterms:modified xsi:type="dcterms:W3CDTF">2025-03-14T14:30:00Z</dcterms:modified>
</cp:coreProperties>
</file>