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5AE" w:rsidRPr="00BE65AE" w:rsidRDefault="00BE65AE" w:rsidP="00BE65AE">
      <w:pPr>
        <w:shd w:val="clear" w:color="auto" w:fill="FFFFFF"/>
        <w:spacing w:after="0" w:line="360" w:lineRule="auto"/>
        <w:jc w:val="center"/>
        <w:outlineLvl w:val="1"/>
        <w:rPr>
          <w:rFonts w:ascii="Times New Roman" w:eastAsia="Times New Roman" w:hAnsi="Times New Roman" w:cs="Times New Roman"/>
          <w:b/>
          <w:bCs/>
          <w:sz w:val="38"/>
          <w:szCs w:val="26"/>
        </w:rPr>
      </w:pPr>
      <w:r w:rsidRPr="00BE65AE">
        <w:rPr>
          <w:rFonts w:ascii="Times New Roman" w:eastAsia="Times New Roman" w:hAnsi="Times New Roman" w:cs="Times New Roman"/>
          <w:b/>
          <w:bCs/>
          <w:sz w:val="38"/>
          <w:szCs w:val="26"/>
        </w:rPr>
        <w:t>Một Số chính sách mới có hiệu lực từ ngày 1/7/ 2022</w:t>
      </w:r>
    </w:p>
    <w:p w:rsidR="00BE65AE" w:rsidRPr="00BE65AE" w:rsidRDefault="00BE65AE" w:rsidP="00BE65AE">
      <w:pPr>
        <w:pStyle w:val="Heading2"/>
        <w:shd w:val="clear" w:color="auto" w:fill="FFFFFF"/>
        <w:spacing w:before="0" w:beforeAutospacing="0" w:after="0" w:afterAutospacing="0" w:line="360" w:lineRule="auto"/>
        <w:rPr>
          <w:sz w:val="26"/>
          <w:szCs w:val="26"/>
        </w:rPr>
      </w:pPr>
      <w:r w:rsidRPr="00BE65AE">
        <w:rPr>
          <w:sz w:val="26"/>
          <w:szCs w:val="26"/>
        </w:rPr>
        <w:t xml:space="preserve">1. </w:t>
      </w:r>
      <w:r w:rsidRPr="00BE65AE">
        <w:rPr>
          <w:sz w:val="26"/>
          <w:szCs w:val="26"/>
        </w:rPr>
        <w:t>Xóa bỏ hóa đơn giấy, chuyển sang sử dụng hóa đơn điện tử</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Nghị định 123/2020/NĐ-CP và Thông tư 78/2021/TT-BTC hướng dẫn Nghị định này (cùng có hiệu lực kể từ ngày 01/7/2022) đã quy định cụ thể lộ trình áp dụng hóa đơn điện tử như sau:</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rStyle w:val="Strong"/>
          <w:sz w:val="26"/>
          <w:szCs w:val="26"/>
          <w:bdr w:val="none" w:sz="0" w:space="0" w:color="auto" w:frame="1"/>
        </w:rPr>
        <w:t>* Trước ngày 01/7/2022: </w:t>
      </w:r>
      <w:r w:rsidRPr="00BE65AE">
        <w:rPr>
          <w:sz w:val="26"/>
          <w:szCs w:val="26"/>
        </w:rPr>
        <w:t>Chỉ bắt buộc áp dụng hoá đơn điện tử đối với các cơ sở kinh doanh được cơ quan thuế thông báo chuyển đổi sử dụng hóa đơn điện tử mà đã đáp ứng được điều kiện về hạ tầng công nghệ thông tin (</w:t>
      </w:r>
      <w:r w:rsidRPr="00BE65AE">
        <w:rPr>
          <w:rStyle w:val="Emphasis"/>
          <w:sz w:val="26"/>
          <w:szCs w:val="26"/>
          <w:bdr w:val="none" w:sz="0" w:space="0" w:color="auto" w:frame="1"/>
        </w:rPr>
        <w:t>theo Điều 60 Nghị định 123/2020/NĐ-CP</w:t>
      </w:r>
      <w:r w:rsidRPr="00BE65AE">
        <w:rPr>
          <w:sz w:val="26"/>
          <w:szCs w:val="26"/>
        </w:rPr>
        <w:t>).</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Đồng thời khuyến khích cơ quan, tổ chức, cá nhân đã đủ điều kiện về hạ tầng công nghệ thông tin áp dụng hóa đơn điện tử (</w:t>
      </w:r>
      <w:r w:rsidRPr="00BE65AE">
        <w:rPr>
          <w:rStyle w:val="Emphasis"/>
          <w:sz w:val="26"/>
          <w:szCs w:val="26"/>
          <w:bdr w:val="none" w:sz="0" w:space="0" w:color="auto" w:frame="1"/>
        </w:rPr>
        <w:t>khoản 1 Điều 11 Thông tư 78/2021/TT-BTC</w:t>
      </w:r>
      <w:r w:rsidRPr="00BE65AE">
        <w:rPr>
          <w:sz w:val="26"/>
          <w:szCs w:val="26"/>
        </w:rPr>
        <w:t>).</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rStyle w:val="Strong"/>
          <w:sz w:val="26"/>
          <w:szCs w:val="26"/>
          <w:bdr w:val="none" w:sz="0" w:space="0" w:color="auto" w:frame="1"/>
        </w:rPr>
        <w:t>* Từ 01/7/2022:</w:t>
      </w:r>
      <w:r w:rsidRPr="00BE65AE">
        <w:rPr>
          <w:sz w:val="26"/>
          <w:szCs w:val="26"/>
        </w:rPr>
        <w:t xml:space="preserve"> Bắt buộc áp dụng hóa đơn điện tử, trừ một số trường hợp như doanh nghiệp nhỏ và vừa, hợp tác xã, hộ, cá nhân kinh doanh tại địa bàn có điều kiện kinh tế - xã hội khó khăn, đặc biệt khó khăn không thực hiện giao dịch với cơ quan thuế bằng phương tiện điện tử, không có hệ thống phần mềm kế </w:t>
      </w:r>
      <w:proofErr w:type="gramStart"/>
      <w:r w:rsidRPr="00BE65AE">
        <w:rPr>
          <w:sz w:val="26"/>
          <w:szCs w:val="26"/>
        </w:rPr>
        <w:t>toán,…</w:t>
      </w:r>
      <w:proofErr w:type="gramEnd"/>
    </w:p>
    <w:p w:rsidR="00BE65AE" w:rsidRPr="00BE65AE" w:rsidRDefault="00BE65AE" w:rsidP="00BE65AE">
      <w:pPr>
        <w:pStyle w:val="Heading2"/>
        <w:shd w:val="clear" w:color="auto" w:fill="FFFFFF"/>
        <w:spacing w:before="0" w:beforeAutospacing="0" w:after="0" w:afterAutospacing="0" w:line="360" w:lineRule="auto"/>
        <w:rPr>
          <w:sz w:val="26"/>
          <w:szCs w:val="26"/>
        </w:rPr>
      </w:pPr>
      <w:r w:rsidRPr="00BE65AE">
        <w:rPr>
          <w:sz w:val="26"/>
          <w:szCs w:val="26"/>
        </w:rPr>
        <w:t>2. H</w:t>
      </w:r>
      <w:r w:rsidRPr="00BE65AE">
        <w:rPr>
          <w:sz w:val="26"/>
          <w:szCs w:val="26"/>
        </w:rPr>
        <w:t>àng loạt loại phí, lệ phí sẽ tăng trở lại</w:t>
      </w:r>
      <w:r w:rsidRPr="00BE65AE">
        <w:rPr>
          <w:sz w:val="26"/>
          <w:szCs w:val="26"/>
        </w:rPr>
        <w:t xml:space="preserve"> t</w:t>
      </w:r>
      <w:r w:rsidRPr="00BE65AE">
        <w:rPr>
          <w:sz w:val="26"/>
          <w:szCs w:val="26"/>
        </w:rPr>
        <w:t>ừ 01/7/2022,</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Nhằm hỗ trợ, tháo gỡ khó khăn cho những người dân và doanh nghiệp chịu ảnh hưởng của đại dịch Covid-19, Bộ Tài chính đã ban hành Thông tư 120/2021/TT-BTC quy định về mức thu của một số khoản phí, lệ phí áp dụng từ ngày 01/01/2022 đến hết ngày 30/6/2022.</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Thông tư này đã tiếp tục bổ sung thêm 03 khoản phí, lệ phí vào danh mục các khoản phí, lệ phí được giảm, đồng thời gia hạn thời gian được giảm mức thu của 34 khoản phí khác, nâng tổng số khoản phí, lệ phí được giảm từ 34 lên 37.</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 xml:space="preserve">Điển hình có thể kể đến các khoản sau: Lệ phí cấp thẻ Căn cước công dân gắn chip, lệ phí cấp hộ chiếu, phí sử dụng đường bộ, phí cấp giấy đăng </w:t>
      </w:r>
      <w:proofErr w:type="gramStart"/>
      <w:r w:rsidRPr="00BE65AE">
        <w:rPr>
          <w:sz w:val="26"/>
          <w:szCs w:val="26"/>
        </w:rPr>
        <w:t>kiểm,…</w:t>
      </w:r>
      <w:proofErr w:type="gramEnd"/>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Các khoản lệ phí này được giảm từ 10 - 50% so với quy trước đó, áp dụng đến hết ngày 30/6/2022.</w:t>
      </w:r>
    </w:p>
    <w:p w:rsidR="00BE65AE" w:rsidRPr="00BE65AE" w:rsidRDefault="00BE65AE" w:rsidP="00BE65AE">
      <w:pPr>
        <w:pStyle w:val="Heading2"/>
        <w:shd w:val="clear" w:color="auto" w:fill="FFFFFF"/>
        <w:spacing w:before="0" w:beforeAutospacing="0" w:after="0" w:afterAutospacing="0" w:line="360" w:lineRule="auto"/>
        <w:rPr>
          <w:sz w:val="26"/>
          <w:szCs w:val="26"/>
        </w:rPr>
      </w:pPr>
      <w:r w:rsidRPr="00BE65AE">
        <w:rPr>
          <w:sz w:val="26"/>
          <w:szCs w:val="26"/>
        </w:rPr>
        <w:t xml:space="preserve">3. </w:t>
      </w:r>
      <w:r w:rsidRPr="00BE65AE">
        <w:rPr>
          <w:sz w:val="26"/>
          <w:szCs w:val="26"/>
        </w:rPr>
        <w:t>Dừng hỗ trợ mức đóng vào quỹ tai nạn lao động, bệnh nghề nghiệp</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lastRenderedPageBreak/>
        <w:t>Tại Nghị quyết 68/NQ-CP năm 2021, Chính phủ đã cho phép người sử dụng lao động gặp khó khăn do Covid-19 được áp dụng mức đóng bằng 0% quỹ tiền lương làm căn cứ đóng BHXH vào Quỹ bảo hiểm tai nạn lao động, bệnh nghề nghiệp trong 12 tháng (từ ngày 01/7/2021 đến hết ngày 30/6/2022).</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Đến ngày 01/7/2022, chính sách hỗ trợ này sẽ kết thúc, doanh nghiệp phải tiến hành đóng bảo hiểm tai nạn lao động, bệnh nghề nghiệp theo mức cũ.</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Cụ thể, theo Điều 4 Nghị định 58/2020/NĐ-CP, mức đóng BHXH bắt buộc vào quỹ tai nạn lao động, bệnh nghề nghiệp từ ngày 01/7/2022 được xác định như sau:</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 Doanh nghiệp đủ điều kiện được đóng với mức thấp: Đóng 0,3%.</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Doanh nghiệp còn lại: Đóng 0,5%.</w:t>
      </w:r>
    </w:p>
    <w:p w:rsidR="00BE65AE" w:rsidRPr="00BE65AE" w:rsidRDefault="00BE65AE" w:rsidP="00BE65AE">
      <w:pPr>
        <w:pStyle w:val="Heading2"/>
        <w:shd w:val="clear" w:color="auto" w:fill="FFFFFF"/>
        <w:spacing w:before="0" w:beforeAutospacing="0" w:after="0" w:afterAutospacing="0" w:line="360" w:lineRule="auto"/>
        <w:rPr>
          <w:sz w:val="26"/>
          <w:szCs w:val="26"/>
        </w:rPr>
      </w:pPr>
      <w:r>
        <w:rPr>
          <w:sz w:val="26"/>
          <w:szCs w:val="26"/>
        </w:rPr>
        <w:t>4</w:t>
      </w:r>
      <w:r w:rsidRPr="00BE65AE">
        <w:rPr>
          <w:sz w:val="26"/>
          <w:szCs w:val="26"/>
        </w:rPr>
        <w:t xml:space="preserve">. </w:t>
      </w:r>
      <w:r w:rsidRPr="00BE65AE">
        <w:rPr>
          <w:sz w:val="26"/>
          <w:szCs w:val="26"/>
        </w:rPr>
        <w:t>Bỏ chứng chỉ ngoại ngữ, tin học cho công chức kế toán, thuế, hải quan</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Cũng trong tháng 7, cụ thể là ngày 18/7/2022, Thông tư 29/2022/TT-BTC của Bộ Tài chính quy định mã số, tiêu chuẩn chuyên môn, nghiệp vụ và xếp lương đối với các ngạch công chức chuyên ngành kế toán, thuế, hải quan, dự trữ sẽ chính thức được áp dụng.</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Theo đó, tiêu chuẩn về trình độ đào tạo, bồi dưỡng đối với các công chức chuyên ngành kế toán, thuế, hải quan đã có sự thay đổi. Thông tư 29 đã không còn yêu cầu phải có chứng chỉ ngoại ngữ, tin học đối với tất các vị trí.</w:t>
      </w:r>
    </w:p>
    <w:p w:rsidR="00BE65AE" w:rsidRPr="00BE65AE" w:rsidRDefault="00BE65AE" w:rsidP="00BE65AE">
      <w:pPr>
        <w:pStyle w:val="NormalWeb"/>
        <w:shd w:val="clear" w:color="auto" w:fill="FFFFFF"/>
        <w:spacing w:before="0" w:beforeAutospacing="0" w:after="0" w:afterAutospacing="0" w:line="360" w:lineRule="auto"/>
        <w:rPr>
          <w:sz w:val="26"/>
          <w:szCs w:val="26"/>
        </w:rPr>
      </w:pPr>
      <w:r w:rsidRPr="00BE65AE">
        <w:rPr>
          <w:sz w:val="26"/>
          <w:szCs w:val="26"/>
        </w:rPr>
        <w:t>Từ ngày 18/7/2022, công chức là kế toán viên, kiểm tra viên thuế, kiểm tra viên hải quan chỉ cần đảm bảo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sidR="00BE65AE" w:rsidRPr="00BE65AE" w:rsidRDefault="00BE65AE" w:rsidP="00BE65AE">
      <w:pPr>
        <w:pStyle w:val="NormalWeb"/>
        <w:shd w:val="clear" w:color="auto" w:fill="FFFFFF"/>
        <w:spacing w:before="0" w:beforeAutospacing="0" w:after="0" w:afterAutospacing="0" w:line="360" w:lineRule="auto"/>
        <w:rPr>
          <w:sz w:val="26"/>
          <w:szCs w:val="26"/>
        </w:rPr>
      </w:pPr>
      <w:r>
        <w:rPr>
          <w:b/>
          <w:bCs/>
          <w:sz w:val="26"/>
          <w:szCs w:val="26"/>
        </w:rPr>
        <w:t>5</w:t>
      </w:r>
      <w:r w:rsidRPr="00BE65AE">
        <w:rPr>
          <w:b/>
          <w:bCs/>
          <w:sz w:val="26"/>
          <w:szCs w:val="26"/>
        </w:rPr>
        <w:t>. Tăng lương tối thiểu vùng</w:t>
      </w:r>
    </w:p>
    <w:p w:rsidR="00BE65AE" w:rsidRPr="00BE65AE" w:rsidRDefault="00BE65AE" w:rsidP="00BE65AE">
      <w:pPr>
        <w:shd w:val="clear" w:color="auto" w:fill="FFFFFF"/>
        <w:spacing w:after="0" w:line="360" w:lineRule="auto"/>
        <w:jc w:val="both"/>
        <w:rPr>
          <w:rFonts w:ascii="Times New Roman" w:eastAsia="Times New Roman" w:hAnsi="Times New Roman" w:cs="Times New Roman"/>
          <w:sz w:val="26"/>
          <w:szCs w:val="26"/>
        </w:rPr>
      </w:pPr>
      <w:r w:rsidRPr="00BE65AE">
        <w:rPr>
          <w:rFonts w:ascii="Times New Roman" w:eastAsia="Times New Roman" w:hAnsi="Times New Roman" w:cs="Times New Roman"/>
          <w:sz w:val="26"/>
          <w:szCs w:val="26"/>
        </w:rPr>
        <w:t>Ngày 12/6, Chính phủ đã ban hành Nghị định 38/2022 quy định mức lương tối thiểu đối với người lao động (NLĐ) làm việc theo hợp đồng lao động. Nghị định này chính thức có hiệu lực từ ngày 1/7.</w:t>
      </w:r>
    </w:p>
    <w:p w:rsidR="00BE65AE" w:rsidRPr="00BE65AE" w:rsidRDefault="00BE65AE" w:rsidP="00BE65AE">
      <w:pPr>
        <w:shd w:val="clear" w:color="auto" w:fill="FFFFFF"/>
        <w:spacing w:after="0" w:line="360" w:lineRule="auto"/>
        <w:jc w:val="both"/>
        <w:rPr>
          <w:rFonts w:ascii="Times New Roman" w:eastAsia="Times New Roman" w:hAnsi="Times New Roman" w:cs="Times New Roman"/>
          <w:sz w:val="26"/>
          <w:szCs w:val="26"/>
        </w:rPr>
      </w:pPr>
      <w:r w:rsidRPr="00BE65AE">
        <w:rPr>
          <w:rFonts w:ascii="Times New Roman" w:eastAsia="Times New Roman" w:hAnsi="Times New Roman" w:cs="Times New Roman"/>
          <w:sz w:val="26"/>
          <w:szCs w:val="26"/>
        </w:rPr>
        <w:t>Theo đó, mức lương tối thiểu tháng tăng bình quân 6% (tương ứng tăng từ 180.000 đồng - 260.000 đồng) so với mức lương tối thiểu hiện hành.</w:t>
      </w:r>
    </w:p>
    <w:p w:rsidR="00BE65AE" w:rsidRPr="00BE65AE" w:rsidRDefault="00BE65AE" w:rsidP="00BE65AE">
      <w:pPr>
        <w:shd w:val="clear" w:color="auto" w:fill="FFFFFF"/>
        <w:spacing w:after="0" w:line="360" w:lineRule="auto"/>
        <w:jc w:val="both"/>
        <w:rPr>
          <w:rFonts w:ascii="Times New Roman" w:eastAsia="Times New Roman" w:hAnsi="Times New Roman" w:cs="Times New Roman"/>
          <w:sz w:val="26"/>
          <w:szCs w:val="26"/>
        </w:rPr>
      </w:pPr>
      <w:r w:rsidRPr="00BE65AE">
        <w:rPr>
          <w:rFonts w:ascii="Times New Roman" w:eastAsia="Times New Roman" w:hAnsi="Times New Roman" w:cs="Times New Roman"/>
          <w:sz w:val="26"/>
          <w:szCs w:val="26"/>
        </w:rPr>
        <w:t xml:space="preserve">Cụ thể, Nghị định 38 quy định các mức lương tối thiểu tháng theo 4 vùng: Vùng I tăng 260.000 đồng, từ 4.420.000 đồng/tháng lên 4.680.000 đồng/tháng. Vùng II tăng 240.000 </w:t>
      </w:r>
      <w:r w:rsidRPr="00BE65AE">
        <w:rPr>
          <w:rFonts w:ascii="Times New Roman" w:eastAsia="Times New Roman" w:hAnsi="Times New Roman" w:cs="Times New Roman"/>
          <w:sz w:val="26"/>
          <w:szCs w:val="26"/>
        </w:rPr>
        <w:lastRenderedPageBreak/>
        <w:t>đồng, từ 3.920.000 đồng/tháng lên 4.160.000 đồng/tháng. Vùng III tăng 210.000 đồng từ 3.430.000 đồng/tháng lên 3.640.000 đồng/tháng. Vùng IV tăng 180.000 đồng từ 3.070.000 đồng/tháng lên 3.250.000 đồng/tháng.</w:t>
      </w:r>
    </w:p>
    <w:p w:rsidR="00BE65AE" w:rsidRPr="00BE65AE" w:rsidRDefault="00BE65AE" w:rsidP="00BE65AE">
      <w:pPr>
        <w:shd w:val="clear" w:color="auto" w:fill="FFFFFF"/>
        <w:spacing w:after="0" w:line="360" w:lineRule="auto"/>
        <w:jc w:val="both"/>
        <w:rPr>
          <w:rFonts w:ascii="Times New Roman" w:eastAsia="Times New Roman" w:hAnsi="Times New Roman" w:cs="Times New Roman"/>
          <w:sz w:val="26"/>
          <w:szCs w:val="26"/>
        </w:rPr>
      </w:pPr>
      <w:r w:rsidRPr="00BE65AE">
        <w:rPr>
          <w:rFonts w:ascii="Times New Roman" w:eastAsia="Times New Roman" w:hAnsi="Times New Roman" w:cs="Times New Roman"/>
          <w:sz w:val="26"/>
          <w:szCs w:val="26"/>
        </w:rPr>
        <w:t>Về mức lương tối thiểu giờ, vùng I là 22.500 đồng/giờ, vùng II là 20.000 đồng/giờ, vùng III là 17.500 đồng/giờ, vùng IV là 15.600 đồng/giờ.</w:t>
      </w:r>
    </w:p>
    <w:p w:rsidR="00BE65AE" w:rsidRPr="00BE65AE" w:rsidRDefault="00BE65AE" w:rsidP="00BE65AE">
      <w:pPr>
        <w:shd w:val="clear" w:color="auto" w:fill="FFFFFF"/>
        <w:spacing w:after="0" w:line="360" w:lineRule="auto"/>
        <w:jc w:val="both"/>
        <w:rPr>
          <w:rFonts w:ascii="Times New Roman" w:eastAsia="Times New Roman" w:hAnsi="Times New Roman" w:cs="Times New Roman"/>
          <w:sz w:val="26"/>
          <w:szCs w:val="26"/>
        </w:rPr>
      </w:pPr>
      <w:r w:rsidRPr="00BE65AE">
        <w:rPr>
          <w:rFonts w:ascii="Times New Roman" w:eastAsia="Times New Roman" w:hAnsi="Times New Roman" w:cs="Times New Roman"/>
          <w:sz w:val="26"/>
          <w:szCs w:val="26"/>
        </w:rPr>
        <w:t>Việc áp dụng địa bàn vùng được xác định theo nơi hoạt động của người sử dụng lao động.</w:t>
      </w:r>
    </w:p>
    <w:p w:rsidR="00BE65AE" w:rsidRPr="00BE65AE" w:rsidRDefault="00BE65AE" w:rsidP="00BE65AE">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6</w:t>
      </w:r>
      <w:r w:rsidRPr="00BE65AE">
        <w:rPr>
          <w:rFonts w:ascii="Times New Roman" w:eastAsia="Times New Roman" w:hAnsi="Times New Roman" w:cs="Times New Roman"/>
          <w:b/>
          <w:bCs/>
          <w:sz w:val="26"/>
          <w:szCs w:val="26"/>
        </w:rPr>
        <w:t>.Tăng tiền lương tháng đóng BHXH bắt buộc tối thiểu từ ngày 1/7/2022</w:t>
      </w:r>
    </w:p>
    <w:p w:rsidR="00BE65AE" w:rsidRPr="00BE65AE" w:rsidRDefault="00BE65AE" w:rsidP="00BE65AE">
      <w:pPr>
        <w:shd w:val="clear" w:color="auto" w:fill="FFFFFF"/>
        <w:spacing w:after="0" w:line="360" w:lineRule="auto"/>
        <w:jc w:val="both"/>
        <w:rPr>
          <w:rFonts w:ascii="Times New Roman" w:eastAsia="Times New Roman" w:hAnsi="Times New Roman" w:cs="Times New Roman"/>
          <w:sz w:val="26"/>
          <w:szCs w:val="26"/>
        </w:rPr>
      </w:pPr>
      <w:r w:rsidRPr="00BE65AE">
        <w:rPr>
          <w:rFonts w:ascii="Times New Roman" w:eastAsia="Times New Roman" w:hAnsi="Times New Roman" w:cs="Times New Roman"/>
          <w:sz w:val="26"/>
          <w:szCs w:val="26"/>
        </w:rPr>
        <w:t>Nghị định 38/2022/NĐ-CP tăng lương tối thiểu vùng từ ngày 1/7/2022 dẫn đến tiền lương tháng đóng BHXH cũng có sự điều chỉnh tăng tương ứng.</w:t>
      </w:r>
    </w:p>
    <w:p w:rsidR="00BE65AE" w:rsidRPr="00BE65AE" w:rsidRDefault="00BE65AE" w:rsidP="00BE65AE">
      <w:pPr>
        <w:shd w:val="clear" w:color="auto" w:fill="FFFFFF"/>
        <w:spacing w:after="0" w:line="360" w:lineRule="auto"/>
        <w:jc w:val="both"/>
        <w:rPr>
          <w:rFonts w:ascii="Times New Roman" w:eastAsia="Times New Roman" w:hAnsi="Times New Roman" w:cs="Times New Roman"/>
          <w:sz w:val="26"/>
          <w:szCs w:val="26"/>
        </w:rPr>
      </w:pPr>
      <w:r w:rsidRPr="00BE65AE">
        <w:rPr>
          <w:rFonts w:ascii="Times New Roman" w:eastAsia="Times New Roman" w:hAnsi="Times New Roman" w:cs="Times New Roman"/>
          <w:sz w:val="26"/>
          <w:szCs w:val="26"/>
        </w:rPr>
        <w:t xml:space="preserve">Hiện </w:t>
      </w:r>
      <w:proofErr w:type="gramStart"/>
      <w:r w:rsidRPr="00BE65AE">
        <w:rPr>
          <w:rFonts w:ascii="Times New Roman" w:eastAsia="Times New Roman" w:hAnsi="Times New Roman" w:cs="Times New Roman"/>
          <w:sz w:val="26"/>
          <w:szCs w:val="26"/>
        </w:rPr>
        <w:t>hành,khoản</w:t>
      </w:r>
      <w:proofErr w:type="gramEnd"/>
      <w:r w:rsidRPr="00BE65AE">
        <w:rPr>
          <w:rFonts w:ascii="Times New Roman" w:eastAsia="Times New Roman" w:hAnsi="Times New Roman" w:cs="Times New Roman"/>
          <w:sz w:val="26"/>
          <w:szCs w:val="26"/>
        </w:rPr>
        <w:t xml:space="preserve"> 2 Điều 6 Quyết định 595 năm 2017 của BHXH Việt Nam, mức tiền lương tháng đóng BHXH bắt buộc không thấp hơn mức lương tối thiểu vùng tại thời điểm đóng đối với NLĐ làm công việc hoặc chức danh giản đơn nhất trong điều kiện lao động bình thường.</w:t>
      </w:r>
    </w:p>
    <w:p w:rsidR="00BE65AE" w:rsidRPr="00BE65AE" w:rsidRDefault="00BE65AE" w:rsidP="00BE65AE">
      <w:pPr>
        <w:shd w:val="clear" w:color="auto" w:fill="FFFFFF"/>
        <w:spacing w:after="0" w:line="360" w:lineRule="auto"/>
        <w:rPr>
          <w:rFonts w:ascii="Times New Roman" w:eastAsia="Times New Roman" w:hAnsi="Times New Roman" w:cs="Times New Roman"/>
          <w:sz w:val="26"/>
          <w:szCs w:val="26"/>
        </w:rPr>
      </w:pPr>
      <w:r w:rsidRPr="00BE65AE">
        <w:rPr>
          <w:rFonts w:ascii="Times New Roman" w:eastAsia="Times New Roman" w:hAnsi="Times New Roman" w:cs="Times New Roman"/>
          <w:sz w:val="26"/>
          <w:szCs w:val="26"/>
        </w:rPr>
        <w:t>Ngoài ra, đối với NLĐ làm công việc hoặc chức danh đòi hỏi lao động qua đào tạo, học nghề (kể cả lao động do doanh nghiệp tự dạy nghề) phải cao hơn ít nhất 7% so với mức lương tối thiểu vùng.</w:t>
      </w:r>
    </w:p>
    <w:p w:rsidR="00BE65AE" w:rsidRPr="00BE65AE" w:rsidRDefault="00BE65AE" w:rsidP="00BE65AE">
      <w:pPr>
        <w:shd w:val="clear" w:color="auto" w:fill="FFFFFF"/>
        <w:spacing w:after="0" w:line="360" w:lineRule="auto"/>
        <w:jc w:val="both"/>
        <w:rPr>
          <w:rFonts w:ascii="Times New Roman" w:eastAsia="Times New Roman" w:hAnsi="Times New Roman" w:cs="Times New Roman"/>
          <w:sz w:val="26"/>
          <w:szCs w:val="26"/>
        </w:rPr>
      </w:pPr>
      <w:r w:rsidRPr="00BE65AE">
        <w:rPr>
          <w:rFonts w:ascii="Times New Roman" w:eastAsia="Times New Roman" w:hAnsi="Times New Roman" w:cs="Times New Roman"/>
          <w:sz w:val="26"/>
          <w:szCs w:val="26"/>
        </w:rPr>
        <w:t>Với người lao động làm công việc hoặc chức danh trong điều kiện lao động nặng nhọc, độc hại, nguy hiểm: Cao hơn ít nhất 5% so với mức lương của công việc hoặc chức danh có độ phức tạp tương đương, làm việc trong điều kiện lao động bình thường.</w:t>
      </w:r>
    </w:p>
    <w:p w:rsidR="00BE65AE" w:rsidRPr="00BE65AE" w:rsidRDefault="00BE65AE" w:rsidP="00BE65AE">
      <w:pPr>
        <w:shd w:val="clear" w:color="auto" w:fill="FFFFFF"/>
        <w:spacing w:after="0" w:line="360" w:lineRule="auto"/>
        <w:jc w:val="both"/>
        <w:rPr>
          <w:rFonts w:ascii="Times New Roman" w:eastAsia="Times New Roman" w:hAnsi="Times New Roman" w:cs="Times New Roman"/>
          <w:sz w:val="26"/>
          <w:szCs w:val="26"/>
        </w:rPr>
      </w:pPr>
      <w:r w:rsidRPr="00BE65AE">
        <w:rPr>
          <w:rFonts w:ascii="Times New Roman" w:eastAsia="Times New Roman" w:hAnsi="Times New Roman" w:cs="Times New Roman"/>
          <w:sz w:val="26"/>
          <w:szCs w:val="26"/>
        </w:rPr>
        <w:t>Với người lao động làm công việc hoặc chức danh trong điều kiện lao động đặc biệt nặng nhọc, độc hại, nguy hiểm: Cao hơn ít nhất 7% so với mức lương của công việc hoặc chức danh có độ phức tạp tương đương, làm việc trong điều kiện lao động bình thường.</w:t>
      </w:r>
    </w:p>
    <w:p w:rsidR="00BE65AE" w:rsidRPr="00BE65AE" w:rsidRDefault="00BE65AE" w:rsidP="00BE65AE">
      <w:pPr>
        <w:shd w:val="clear" w:color="auto" w:fill="FFFFFF"/>
        <w:spacing w:after="0" w:line="360" w:lineRule="auto"/>
        <w:jc w:val="both"/>
        <w:rPr>
          <w:rFonts w:ascii="Times New Roman" w:eastAsia="Times New Roman" w:hAnsi="Times New Roman" w:cs="Times New Roman"/>
          <w:sz w:val="26"/>
          <w:szCs w:val="26"/>
        </w:rPr>
      </w:pPr>
      <w:r w:rsidRPr="00BE65AE">
        <w:rPr>
          <w:rFonts w:ascii="Times New Roman" w:eastAsia="Times New Roman" w:hAnsi="Times New Roman" w:cs="Times New Roman"/>
          <w:sz w:val="26"/>
          <w:szCs w:val="26"/>
        </w:rPr>
        <w:t>Từ ngày 1/7, mức lương tối thiểu vùng được điều chỉnh tăng cũng có tác động đến việc tăng mức đóng BHXH bắt buộc. Từ đó, khi nhận các chế độ BHXH thì mức tiền NLĐ nhận được cũng sẽ tăng theo.</w:t>
      </w:r>
    </w:p>
    <w:p w:rsidR="00052AE6" w:rsidRPr="00BE65AE" w:rsidRDefault="00052AE6" w:rsidP="00BE65AE">
      <w:pPr>
        <w:spacing w:after="0" w:line="360" w:lineRule="auto"/>
        <w:rPr>
          <w:rFonts w:ascii="Times New Roman" w:hAnsi="Times New Roman" w:cs="Times New Roman"/>
          <w:sz w:val="26"/>
          <w:szCs w:val="26"/>
        </w:rPr>
      </w:pPr>
      <w:bookmarkStart w:id="0" w:name="_GoBack"/>
      <w:bookmarkEnd w:id="0"/>
    </w:p>
    <w:sectPr w:rsidR="00052AE6" w:rsidRPr="00BE6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AE"/>
    <w:rsid w:val="00052AE6"/>
    <w:rsid w:val="004D4B36"/>
    <w:rsid w:val="00BE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5BDB"/>
  <w15:chartTrackingRefBased/>
  <w15:docId w15:val="{6E51DEB7-881F-4A70-BDE4-BB5162C3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E6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65AE"/>
    <w:rPr>
      <w:rFonts w:ascii="Times New Roman" w:eastAsia="Times New Roman" w:hAnsi="Times New Roman" w:cs="Times New Roman"/>
      <w:b/>
      <w:bCs/>
      <w:sz w:val="36"/>
      <w:szCs w:val="36"/>
    </w:rPr>
  </w:style>
  <w:style w:type="paragraph" w:styleId="NormalWeb">
    <w:name w:val="Normal (Web)"/>
    <w:basedOn w:val="Normal"/>
    <w:uiPriority w:val="99"/>
    <w:unhideWhenUsed/>
    <w:rsid w:val="00BE6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65AE"/>
    <w:rPr>
      <w:b/>
      <w:bCs/>
    </w:rPr>
  </w:style>
  <w:style w:type="paragraph" w:styleId="ListParagraph">
    <w:name w:val="List Paragraph"/>
    <w:basedOn w:val="Normal"/>
    <w:uiPriority w:val="34"/>
    <w:qFormat/>
    <w:rsid w:val="00BE65AE"/>
    <w:pPr>
      <w:ind w:left="720"/>
      <w:contextualSpacing/>
    </w:pPr>
  </w:style>
  <w:style w:type="character" w:styleId="Emphasis">
    <w:name w:val="Emphasis"/>
    <w:basedOn w:val="DefaultParagraphFont"/>
    <w:uiPriority w:val="20"/>
    <w:qFormat/>
    <w:rsid w:val="00BE65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48958">
      <w:bodyDiv w:val="1"/>
      <w:marLeft w:val="0"/>
      <w:marRight w:val="0"/>
      <w:marTop w:val="0"/>
      <w:marBottom w:val="0"/>
      <w:divBdr>
        <w:top w:val="none" w:sz="0" w:space="0" w:color="auto"/>
        <w:left w:val="none" w:sz="0" w:space="0" w:color="auto"/>
        <w:bottom w:val="none" w:sz="0" w:space="0" w:color="auto"/>
        <w:right w:val="none" w:sz="0" w:space="0" w:color="auto"/>
      </w:divBdr>
    </w:div>
    <w:div w:id="666639470">
      <w:bodyDiv w:val="1"/>
      <w:marLeft w:val="0"/>
      <w:marRight w:val="0"/>
      <w:marTop w:val="0"/>
      <w:marBottom w:val="0"/>
      <w:divBdr>
        <w:top w:val="none" w:sz="0" w:space="0" w:color="auto"/>
        <w:left w:val="none" w:sz="0" w:space="0" w:color="auto"/>
        <w:bottom w:val="none" w:sz="0" w:space="0" w:color="auto"/>
        <w:right w:val="none" w:sz="0" w:space="0" w:color="auto"/>
      </w:divBdr>
    </w:div>
    <w:div w:id="1199776075">
      <w:bodyDiv w:val="1"/>
      <w:marLeft w:val="0"/>
      <w:marRight w:val="0"/>
      <w:marTop w:val="0"/>
      <w:marBottom w:val="0"/>
      <w:divBdr>
        <w:top w:val="none" w:sz="0" w:space="0" w:color="auto"/>
        <w:left w:val="none" w:sz="0" w:space="0" w:color="auto"/>
        <w:bottom w:val="none" w:sz="0" w:space="0" w:color="auto"/>
        <w:right w:val="none" w:sz="0" w:space="0" w:color="auto"/>
      </w:divBdr>
    </w:div>
    <w:div w:id="1275402306">
      <w:bodyDiv w:val="1"/>
      <w:marLeft w:val="0"/>
      <w:marRight w:val="0"/>
      <w:marTop w:val="0"/>
      <w:marBottom w:val="0"/>
      <w:divBdr>
        <w:top w:val="none" w:sz="0" w:space="0" w:color="auto"/>
        <w:left w:val="none" w:sz="0" w:space="0" w:color="auto"/>
        <w:bottom w:val="none" w:sz="0" w:space="0" w:color="auto"/>
        <w:right w:val="none" w:sz="0" w:space="0" w:color="auto"/>
      </w:divBdr>
    </w:div>
    <w:div w:id="1774393847">
      <w:bodyDiv w:val="1"/>
      <w:marLeft w:val="0"/>
      <w:marRight w:val="0"/>
      <w:marTop w:val="0"/>
      <w:marBottom w:val="0"/>
      <w:divBdr>
        <w:top w:val="none" w:sz="0" w:space="0" w:color="auto"/>
        <w:left w:val="none" w:sz="0" w:space="0" w:color="auto"/>
        <w:bottom w:val="none" w:sz="0" w:space="0" w:color="auto"/>
        <w:right w:val="none" w:sz="0" w:space="0" w:color="auto"/>
      </w:divBdr>
    </w:div>
    <w:div w:id="18747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2022-07-14T03:07:00Z</dcterms:created>
  <dcterms:modified xsi:type="dcterms:W3CDTF">2022-07-14T03:19:00Z</dcterms:modified>
</cp:coreProperties>
</file>